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1511B" w14:textId="7B9FB1C4" w:rsidR="00890BA8" w:rsidRPr="00EA3B8D" w:rsidRDefault="00890BA8" w:rsidP="00BA6DA0">
      <w:pPr>
        <w:pStyle w:val="BodyA"/>
        <w:spacing w:line="276" w:lineRule="auto"/>
        <w:jc w:val="both"/>
        <w:rPr>
          <w:rFonts w:ascii="Times New Roman" w:eastAsia="Source Sans Pro" w:hAnsi="Times New Roman" w:cs="Times New Roman"/>
          <w:sz w:val="24"/>
          <w:szCs w:val="24"/>
          <w:lang w:val="hr-HR"/>
        </w:rPr>
      </w:pPr>
      <w:bookmarkStart w:id="0" w:name="_Hlk161842447"/>
      <w:r w:rsidRPr="00EA3B8D">
        <w:rPr>
          <w:rFonts w:ascii="Times New Roman" w:eastAsia="Source Sans Pro" w:hAnsi="Times New Roman" w:cs="Times New Roman"/>
          <w:sz w:val="24"/>
          <w:szCs w:val="24"/>
          <w:lang w:val="hr-HR"/>
        </w:rPr>
        <w:t>KLASA: 400-06/2</w:t>
      </w:r>
      <w:r w:rsidR="00EA3B8D">
        <w:rPr>
          <w:rFonts w:ascii="Times New Roman" w:eastAsia="Source Sans Pro" w:hAnsi="Times New Roman" w:cs="Times New Roman"/>
          <w:sz w:val="24"/>
          <w:szCs w:val="24"/>
          <w:lang w:val="hr-HR"/>
        </w:rPr>
        <w:t>5</w:t>
      </w:r>
      <w:r w:rsidRPr="00EA3B8D">
        <w:rPr>
          <w:rFonts w:ascii="Times New Roman" w:eastAsia="Source Sans Pro" w:hAnsi="Times New Roman" w:cs="Times New Roman"/>
          <w:sz w:val="24"/>
          <w:szCs w:val="24"/>
          <w:lang w:val="hr-HR"/>
        </w:rPr>
        <w:t>-02/01</w:t>
      </w:r>
    </w:p>
    <w:p w14:paraId="2C314BD5" w14:textId="1F3936D0" w:rsidR="00890BA8" w:rsidRPr="00EA3B8D" w:rsidRDefault="00890BA8" w:rsidP="00BA6DA0">
      <w:pPr>
        <w:pStyle w:val="BodyA"/>
        <w:spacing w:line="276" w:lineRule="auto"/>
        <w:jc w:val="both"/>
        <w:rPr>
          <w:rFonts w:ascii="Times New Roman" w:eastAsia="Source Sans Pro" w:hAnsi="Times New Roman" w:cs="Times New Roman"/>
          <w:sz w:val="24"/>
          <w:szCs w:val="24"/>
          <w:lang w:val="hr-HR"/>
        </w:rPr>
      </w:pPr>
      <w:r w:rsidRPr="00EA3B8D">
        <w:rPr>
          <w:rFonts w:ascii="Times New Roman" w:eastAsia="Source Sans Pro" w:hAnsi="Times New Roman" w:cs="Times New Roman"/>
          <w:sz w:val="24"/>
          <w:szCs w:val="24"/>
          <w:lang w:val="hr-HR"/>
        </w:rPr>
        <w:t>URBROJ: 2170-137-06-2</w:t>
      </w:r>
      <w:r w:rsidR="00EA3B8D">
        <w:rPr>
          <w:rFonts w:ascii="Times New Roman" w:eastAsia="Source Sans Pro" w:hAnsi="Times New Roman" w:cs="Times New Roman"/>
          <w:sz w:val="24"/>
          <w:szCs w:val="24"/>
          <w:lang w:val="hr-HR"/>
        </w:rPr>
        <w:t>5</w:t>
      </w:r>
      <w:r w:rsidRPr="00EA3B8D">
        <w:rPr>
          <w:rFonts w:ascii="Times New Roman" w:eastAsia="Source Sans Pro" w:hAnsi="Times New Roman" w:cs="Times New Roman"/>
          <w:sz w:val="24"/>
          <w:szCs w:val="24"/>
          <w:lang w:val="hr-HR"/>
        </w:rPr>
        <w:t>-</w:t>
      </w:r>
      <w:r w:rsidR="00EA3B8D">
        <w:rPr>
          <w:rFonts w:ascii="Times New Roman" w:eastAsia="Source Sans Pro" w:hAnsi="Times New Roman" w:cs="Times New Roman"/>
          <w:sz w:val="24"/>
          <w:szCs w:val="24"/>
          <w:lang w:val="hr-HR"/>
        </w:rPr>
        <w:t>4</w:t>
      </w:r>
    </w:p>
    <w:p w14:paraId="7A36E7BE" w14:textId="0BA5A079" w:rsidR="00890BA8" w:rsidRPr="00890BA8" w:rsidRDefault="00890BA8" w:rsidP="00BA6DA0">
      <w:pPr>
        <w:pStyle w:val="BodyA"/>
        <w:spacing w:line="360" w:lineRule="auto"/>
        <w:jc w:val="both"/>
        <w:rPr>
          <w:rFonts w:ascii="Times New Roman" w:eastAsia="Source Sans Pro" w:hAnsi="Times New Roman" w:cs="Times New Roman"/>
          <w:sz w:val="24"/>
          <w:szCs w:val="24"/>
          <w:lang w:val="hr-HR"/>
        </w:rPr>
      </w:pPr>
      <w:r w:rsidRPr="00F322BC">
        <w:rPr>
          <w:rFonts w:ascii="Times New Roman" w:eastAsia="Source Sans Pro" w:hAnsi="Times New Roman" w:cs="Times New Roman"/>
          <w:sz w:val="24"/>
          <w:szCs w:val="24"/>
          <w:lang w:val="hr-HR"/>
        </w:rPr>
        <w:t xml:space="preserve">U Rijeci, </w:t>
      </w:r>
      <w:r w:rsidR="00885D2A">
        <w:rPr>
          <w:rFonts w:ascii="Times New Roman" w:eastAsia="Source Sans Pro" w:hAnsi="Times New Roman" w:cs="Times New Roman"/>
          <w:sz w:val="24"/>
          <w:szCs w:val="24"/>
          <w:lang w:val="hr-HR"/>
        </w:rPr>
        <w:t>10</w:t>
      </w:r>
      <w:r w:rsidRPr="00F322BC">
        <w:rPr>
          <w:rFonts w:ascii="Times New Roman" w:eastAsia="Source Sans Pro" w:hAnsi="Times New Roman" w:cs="Times New Roman"/>
          <w:sz w:val="24"/>
          <w:szCs w:val="24"/>
          <w:lang w:val="hr-HR"/>
        </w:rPr>
        <w:t xml:space="preserve">. </w:t>
      </w:r>
      <w:r w:rsidR="0092755C" w:rsidRPr="00F322BC">
        <w:rPr>
          <w:rFonts w:ascii="Times New Roman" w:eastAsia="Source Sans Pro" w:hAnsi="Times New Roman" w:cs="Times New Roman"/>
          <w:sz w:val="24"/>
          <w:szCs w:val="24"/>
          <w:lang w:val="hr-HR"/>
        </w:rPr>
        <w:t>ožujka</w:t>
      </w:r>
      <w:r w:rsidRPr="00F322BC">
        <w:rPr>
          <w:rFonts w:ascii="Times New Roman" w:eastAsia="Source Sans Pro" w:hAnsi="Times New Roman" w:cs="Times New Roman"/>
          <w:sz w:val="24"/>
          <w:szCs w:val="24"/>
          <w:lang w:val="hr-HR"/>
        </w:rPr>
        <w:t xml:space="preserve"> 202</w:t>
      </w:r>
      <w:r w:rsidR="008B56C0" w:rsidRPr="00F322BC">
        <w:rPr>
          <w:rFonts w:ascii="Times New Roman" w:eastAsia="Source Sans Pro" w:hAnsi="Times New Roman" w:cs="Times New Roman"/>
          <w:sz w:val="24"/>
          <w:szCs w:val="24"/>
          <w:lang w:val="hr-HR"/>
        </w:rPr>
        <w:t>5</w:t>
      </w:r>
      <w:r w:rsidRPr="00F322BC">
        <w:rPr>
          <w:rFonts w:ascii="Times New Roman" w:eastAsia="Source Sans Pro" w:hAnsi="Times New Roman" w:cs="Times New Roman"/>
          <w:sz w:val="24"/>
          <w:szCs w:val="24"/>
          <w:lang w:val="hr-HR"/>
        </w:rPr>
        <w:t>.</w:t>
      </w:r>
    </w:p>
    <w:bookmarkEnd w:id="0"/>
    <w:p w14:paraId="27655B29" w14:textId="77777777" w:rsidR="00890BA8" w:rsidRPr="00890BA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7F7F7F"/>
          <w:sz w:val="24"/>
          <w:szCs w:val="24"/>
          <w:lang w:val="hr-HR"/>
        </w:rPr>
      </w:pPr>
    </w:p>
    <w:p w14:paraId="7667068A" w14:textId="77777777" w:rsidR="00890BA8" w:rsidRPr="00890BA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890BA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SVEUČILIŠTE U RIJECI</w:t>
      </w:r>
    </w:p>
    <w:p w14:paraId="6972C362" w14:textId="77777777" w:rsidR="00890BA8" w:rsidRPr="00890BA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890BA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Trg braće Mažuranića 10</w:t>
      </w:r>
    </w:p>
    <w:p w14:paraId="72BE6C20" w14:textId="77777777" w:rsidR="00890BA8" w:rsidRPr="00890BA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890BA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51000 Rijeka</w:t>
      </w:r>
    </w:p>
    <w:p w14:paraId="0E470C8D" w14:textId="77777777" w:rsidR="00890BA8" w:rsidRPr="00890BA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890BA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OIB: 64218323816</w:t>
      </w:r>
    </w:p>
    <w:p w14:paraId="56B939B0" w14:textId="77777777" w:rsidR="00890BA8" w:rsidRPr="00890BA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890BA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RKP: 02444</w:t>
      </w:r>
    </w:p>
    <w:p w14:paraId="1AE7052F" w14:textId="77777777" w:rsidR="00890BA8" w:rsidRPr="00890BA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7F7F7F"/>
          <w:sz w:val="24"/>
          <w:szCs w:val="24"/>
          <w:lang w:val="hr-HR"/>
        </w:rPr>
      </w:pPr>
    </w:p>
    <w:p w14:paraId="2BBE934C" w14:textId="77777777" w:rsidR="00890BA8" w:rsidRPr="00890BA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7F7F7F"/>
          <w:sz w:val="24"/>
          <w:szCs w:val="24"/>
          <w:lang w:val="hr-HR"/>
        </w:rPr>
      </w:pPr>
    </w:p>
    <w:p w14:paraId="49259F6E" w14:textId="77777777" w:rsidR="00890BA8" w:rsidRPr="00890BA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7F7F7F"/>
          <w:sz w:val="24"/>
          <w:szCs w:val="24"/>
          <w:lang w:val="hr-HR"/>
        </w:rPr>
      </w:pPr>
    </w:p>
    <w:p w14:paraId="43620A1D" w14:textId="35BBD073" w:rsidR="00890BA8" w:rsidRPr="00890BA8" w:rsidRDefault="00890BA8" w:rsidP="00BA6DA0">
      <w:pPr>
        <w:pStyle w:val="BodyA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890BA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OBRAZLOŽENJE OPĆEG  DIJELA IZVRŠENJA FINANCIJSKOG PLANA ZA 202</w:t>
      </w:r>
      <w:r w:rsidR="00F322B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4</w:t>
      </w:r>
      <w:r w:rsidRPr="00890BA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. GODINU</w:t>
      </w:r>
    </w:p>
    <w:p w14:paraId="3C83E5AA" w14:textId="250DB9CB" w:rsidR="00653C48" w:rsidRPr="00890BA8" w:rsidRDefault="00653C48" w:rsidP="00BA6DA0">
      <w:pPr>
        <w:jc w:val="both"/>
        <w:rPr>
          <w:lang w:val="hr-HR"/>
        </w:rPr>
      </w:pPr>
    </w:p>
    <w:p w14:paraId="1A9D65C2" w14:textId="2355821E" w:rsidR="00890BA8" w:rsidRPr="00890BA8" w:rsidRDefault="00890BA8" w:rsidP="00BA6DA0">
      <w:pPr>
        <w:jc w:val="both"/>
        <w:rPr>
          <w:lang w:val="hr-HR"/>
        </w:rPr>
      </w:pPr>
    </w:p>
    <w:p w14:paraId="7C984E4F" w14:textId="6149953D" w:rsidR="00BA6DA0" w:rsidRDefault="00890BA8" w:rsidP="00BA6DA0">
      <w:pPr>
        <w:jc w:val="both"/>
        <w:rPr>
          <w:lang w:val="hr-HR"/>
        </w:rPr>
      </w:pPr>
      <w:r w:rsidRPr="00890BA8">
        <w:rPr>
          <w:lang w:val="hr-HR"/>
        </w:rPr>
        <w:t xml:space="preserve">U sažetku </w:t>
      </w:r>
      <w:r w:rsidR="00BA6DA0">
        <w:rPr>
          <w:lang w:val="hr-HR"/>
        </w:rPr>
        <w:t xml:space="preserve">izvještaja o izvršenju </w:t>
      </w:r>
      <w:r w:rsidR="00B81D48">
        <w:rPr>
          <w:lang w:val="hr-HR"/>
        </w:rPr>
        <w:t xml:space="preserve">financijskog plana </w:t>
      </w:r>
      <w:r w:rsidR="00BA6DA0">
        <w:rPr>
          <w:lang w:val="hr-HR"/>
        </w:rPr>
        <w:t>za 202</w:t>
      </w:r>
      <w:r w:rsidR="00F322BC">
        <w:rPr>
          <w:lang w:val="hr-HR"/>
        </w:rPr>
        <w:t>4</w:t>
      </w:r>
      <w:r w:rsidR="00BA6DA0">
        <w:rPr>
          <w:lang w:val="hr-HR"/>
        </w:rPr>
        <w:t xml:space="preserve">. godinu </w:t>
      </w:r>
      <w:r w:rsidR="00B81D48">
        <w:rPr>
          <w:lang w:val="hr-HR"/>
        </w:rPr>
        <w:t xml:space="preserve">prikazani </w:t>
      </w:r>
      <w:r w:rsidR="00BA6DA0">
        <w:rPr>
          <w:lang w:val="hr-HR"/>
        </w:rPr>
        <w:t xml:space="preserve">su </w:t>
      </w:r>
      <w:r w:rsidR="00B81D48">
        <w:rPr>
          <w:lang w:val="hr-HR"/>
        </w:rPr>
        <w:t xml:space="preserve">zbirni </w:t>
      </w:r>
      <w:r w:rsidR="00BA6DA0">
        <w:rPr>
          <w:lang w:val="hr-HR"/>
        </w:rPr>
        <w:t xml:space="preserve">podaci o izvršenju ukupnih prihoda i rashoda, primitaka i izdataka te podaci o donosu i odnosu </w:t>
      </w:r>
      <w:r w:rsidR="00B81D48">
        <w:rPr>
          <w:lang w:val="hr-HR"/>
        </w:rPr>
        <w:t xml:space="preserve">novčanih </w:t>
      </w:r>
      <w:r w:rsidR="00BA6DA0">
        <w:rPr>
          <w:lang w:val="hr-HR"/>
        </w:rPr>
        <w:t xml:space="preserve">sredstava. </w:t>
      </w:r>
      <w:r w:rsidR="00B81D48">
        <w:rPr>
          <w:lang w:val="hr-HR"/>
        </w:rPr>
        <w:t xml:space="preserve">Izvješće sadrži usporedne podatke o izvršenju financijskog plana za 2023.godinu, podatke o financijskom planu uključujući provedeni </w:t>
      </w:r>
      <w:r w:rsidR="00BA6DA0">
        <w:rPr>
          <w:lang w:val="hr-HR"/>
        </w:rPr>
        <w:t>rebalans za 202</w:t>
      </w:r>
      <w:r w:rsidR="00677A63">
        <w:rPr>
          <w:lang w:val="hr-HR"/>
        </w:rPr>
        <w:t>4.</w:t>
      </w:r>
      <w:r w:rsidR="00BA6DA0">
        <w:rPr>
          <w:lang w:val="hr-HR"/>
        </w:rPr>
        <w:t xml:space="preserve"> godinu, te </w:t>
      </w:r>
      <w:r w:rsidR="00B81D48">
        <w:rPr>
          <w:lang w:val="hr-HR"/>
        </w:rPr>
        <w:t xml:space="preserve">podatke o </w:t>
      </w:r>
      <w:r w:rsidR="00BA6DA0">
        <w:rPr>
          <w:lang w:val="hr-HR"/>
        </w:rPr>
        <w:t>izvršenj</w:t>
      </w:r>
      <w:r w:rsidR="00B81D48">
        <w:rPr>
          <w:lang w:val="hr-HR"/>
        </w:rPr>
        <w:t>u financijskog plana</w:t>
      </w:r>
      <w:r w:rsidR="00BA6DA0">
        <w:rPr>
          <w:lang w:val="hr-HR"/>
        </w:rPr>
        <w:t xml:space="preserve"> za 202</w:t>
      </w:r>
      <w:r w:rsidR="00EF74A1">
        <w:rPr>
          <w:lang w:val="hr-HR"/>
        </w:rPr>
        <w:t>4</w:t>
      </w:r>
      <w:r w:rsidR="00BA6DA0">
        <w:rPr>
          <w:lang w:val="hr-HR"/>
        </w:rPr>
        <w:t xml:space="preserve">. godinu. U svim izvješćima prikazan je </w:t>
      </w:r>
      <w:r w:rsidR="00B81D48">
        <w:rPr>
          <w:lang w:val="hr-HR"/>
        </w:rPr>
        <w:t xml:space="preserve">i </w:t>
      </w:r>
      <w:r w:rsidR="00BA6DA0">
        <w:rPr>
          <w:lang w:val="hr-HR"/>
        </w:rPr>
        <w:t xml:space="preserve">indeks </w:t>
      </w:r>
      <w:r w:rsidR="00B81D48">
        <w:rPr>
          <w:lang w:val="hr-HR"/>
        </w:rPr>
        <w:t xml:space="preserve">kao relativni pokazatelj za </w:t>
      </w:r>
      <w:r w:rsidR="00BA6DA0">
        <w:rPr>
          <w:lang w:val="hr-HR"/>
        </w:rPr>
        <w:t>usporedb</w:t>
      </w:r>
      <w:r w:rsidR="00B81D48">
        <w:rPr>
          <w:lang w:val="hr-HR"/>
        </w:rPr>
        <w:t>u</w:t>
      </w:r>
      <w:r w:rsidR="00BA6DA0">
        <w:rPr>
          <w:lang w:val="hr-HR"/>
        </w:rPr>
        <w:t xml:space="preserve"> izvršenja </w:t>
      </w:r>
      <w:r w:rsidR="00B81D48">
        <w:rPr>
          <w:lang w:val="hr-HR"/>
        </w:rPr>
        <w:t xml:space="preserve">plana </w:t>
      </w:r>
      <w:r w:rsidR="00BA6DA0">
        <w:rPr>
          <w:lang w:val="hr-HR"/>
        </w:rPr>
        <w:t>za 202</w:t>
      </w:r>
      <w:r w:rsidR="00B37914">
        <w:rPr>
          <w:lang w:val="hr-HR"/>
        </w:rPr>
        <w:t>4</w:t>
      </w:r>
      <w:r w:rsidR="00BA6DA0">
        <w:rPr>
          <w:lang w:val="hr-HR"/>
        </w:rPr>
        <w:t>. godinu s izvršenjem za 202</w:t>
      </w:r>
      <w:r w:rsidR="00B846DF">
        <w:rPr>
          <w:lang w:val="hr-HR"/>
        </w:rPr>
        <w:t>3</w:t>
      </w:r>
      <w:r w:rsidR="00BA6DA0">
        <w:rPr>
          <w:lang w:val="hr-HR"/>
        </w:rPr>
        <w:t xml:space="preserve">. godinu i rebalansom </w:t>
      </w:r>
      <w:r w:rsidR="003E450F">
        <w:rPr>
          <w:lang w:val="hr-HR"/>
        </w:rPr>
        <w:t xml:space="preserve">financijskog </w:t>
      </w:r>
      <w:r w:rsidR="00BA6DA0">
        <w:rPr>
          <w:lang w:val="hr-HR"/>
        </w:rPr>
        <w:t>plana za 202</w:t>
      </w:r>
      <w:r w:rsidR="00B846DF">
        <w:rPr>
          <w:lang w:val="hr-HR"/>
        </w:rPr>
        <w:t>4</w:t>
      </w:r>
      <w:r w:rsidR="00BA6DA0">
        <w:rPr>
          <w:lang w:val="hr-HR"/>
        </w:rPr>
        <w:t>.</w:t>
      </w:r>
      <w:r w:rsidR="00B81D48">
        <w:rPr>
          <w:lang w:val="hr-HR"/>
        </w:rPr>
        <w:t>godinu.</w:t>
      </w:r>
    </w:p>
    <w:p w14:paraId="19ABB119" w14:textId="77777777" w:rsidR="00BA6DA0" w:rsidRDefault="00BA6DA0" w:rsidP="00BA6DA0">
      <w:pPr>
        <w:jc w:val="both"/>
        <w:rPr>
          <w:lang w:val="hr-HR"/>
        </w:rPr>
      </w:pPr>
    </w:p>
    <w:p w14:paraId="5C72E238" w14:textId="77777777" w:rsidR="009364C6" w:rsidRDefault="009364C6" w:rsidP="00BA6DA0">
      <w:pPr>
        <w:jc w:val="both"/>
        <w:rPr>
          <w:lang w:val="hr-HR"/>
        </w:rPr>
      </w:pPr>
    </w:p>
    <w:p w14:paraId="508117E2" w14:textId="77777777" w:rsidR="00890BA8" w:rsidRPr="00890BA8" w:rsidRDefault="00890BA8" w:rsidP="00BA6DA0">
      <w:pPr>
        <w:jc w:val="both"/>
        <w:rPr>
          <w:lang w:val="hr-HR"/>
        </w:rPr>
      </w:pPr>
    </w:p>
    <w:p w14:paraId="037E1664" w14:textId="1B35F982" w:rsidR="00890BA8" w:rsidRPr="00890BA8" w:rsidRDefault="00890BA8" w:rsidP="00BA6DA0">
      <w:pPr>
        <w:jc w:val="both"/>
        <w:rPr>
          <w:b/>
          <w:bCs/>
          <w:u w:val="single"/>
          <w:lang w:val="hr-HR"/>
        </w:rPr>
      </w:pPr>
      <w:r w:rsidRPr="00890BA8">
        <w:rPr>
          <w:b/>
          <w:bCs/>
          <w:u w:val="single"/>
          <w:lang w:val="hr-HR"/>
        </w:rPr>
        <w:t xml:space="preserve">IZVJEŠTAJ O </w:t>
      </w:r>
      <w:r w:rsidR="00784EA6">
        <w:rPr>
          <w:b/>
          <w:bCs/>
          <w:u w:val="single"/>
          <w:lang w:val="hr-HR"/>
        </w:rPr>
        <w:t xml:space="preserve">IZVRŠENIM </w:t>
      </w:r>
      <w:r w:rsidRPr="00890BA8">
        <w:rPr>
          <w:b/>
          <w:bCs/>
          <w:u w:val="single"/>
          <w:lang w:val="hr-HR"/>
        </w:rPr>
        <w:t>PRIHOD</w:t>
      </w:r>
      <w:r w:rsidR="00BA6DA0">
        <w:rPr>
          <w:b/>
          <w:bCs/>
          <w:u w:val="single"/>
          <w:lang w:val="hr-HR"/>
        </w:rPr>
        <w:t>IMA</w:t>
      </w:r>
      <w:r w:rsidRPr="00890BA8">
        <w:rPr>
          <w:b/>
          <w:bCs/>
          <w:u w:val="single"/>
          <w:lang w:val="hr-HR"/>
        </w:rPr>
        <w:t xml:space="preserve"> I </w:t>
      </w:r>
      <w:r w:rsidR="00BA6DA0">
        <w:rPr>
          <w:b/>
          <w:bCs/>
          <w:u w:val="single"/>
          <w:lang w:val="hr-HR"/>
        </w:rPr>
        <w:t xml:space="preserve">RASHODIMA PREMA EKONOMSKOJ KLASIFIKACIJI </w:t>
      </w:r>
    </w:p>
    <w:p w14:paraId="172DB347" w14:textId="77777777" w:rsidR="00890BA8" w:rsidRPr="00890BA8" w:rsidRDefault="00890BA8" w:rsidP="00BA6DA0">
      <w:pPr>
        <w:jc w:val="both"/>
        <w:rPr>
          <w:lang w:val="hr-HR"/>
        </w:rPr>
      </w:pPr>
    </w:p>
    <w:p w14:paraId="29F04F03" w14:textId="23F86BF3" w:rsidR="008A3416" w:rsidRDefault="00890BA8" w:rsidP="00BA6DA0">
      <w:pPr>
        <w:jc w:val="both"/>
        <w:rPr>
          <w:lang w:val="hr-HR"/>
        </w:rPr>
      </w:pPr>
      <w:r w:rsidRPr="00890BA8">
        <w:rPr>
          <w:lang w:val="hr-HR"/>
        </w:rPr>
        <w:t>Ukupn</w:t>
      </w:r>
      <w:r w:rsidR="00F46001">
        <w:rPr>
          <w:lang w:val="hr-HR"/>
        </w:rPr>
        <w:t xml:space="preserve">o izvršenje </w:t>
      </w:r>
      <w:r w:rsidRPr="00890BA8">
        <w:rPr>
          <w:lang w:val="hr-HR"/>
        </w:rPr>
        <w:t>prihod</w:t>
      </w:r>
      <w:r w:rsidR="00F46001">
        <w:rPr>
          <w:lang w:val="hr-HR"/>
        </w:rPr>
        <w:t>a</w:t>
      </w:r>
      <w:r w:rsidRPr="00890BA8">
        <w:rPr>
          <w:lang w:val="hr-HR"/>
        </w:rPr>
        <w:t xml:space="preserve"> za 202</w:t>
      </w:r>
      <w:r w:rsidR="00B846DF">
        <w:rPr>
          <w:lang w:val="hr-HR"/>
        </w:rPr>
        <w:t>4</w:t>
      </w:r>
      <w:r w:rsidRPr="00890BA8">
        <w:rPr>
          <w:lang w:val="hr-HR"/>
        </w:rPr>
        <w:t>. godinu</w:t>
      </w:r>
      <w:r w:rsidR="00F46001">
        <w:rPr>
          <w:lang w:val="hr-HR"/>
        </w:rPr>
        <w:t xml:space="preserve"> iznosi </w:t>
      </w:r>
      <w:r w:rsidR="00C87611">
        <w:rPr>
          <w:lang w:val="hr-HR"/>
        </w:rPr>
        <w:t>22.051.772,05</w:t>
      </w:r>
      <w:r w:rsidR="00F46001">
        <w:rPr>
          <w:lang w:val="hr-HR"/>
        </w:rPr>
        <w:t xml:space="preserve"> €. Izvršenje je veće za </w:t>
      </w:r>
      <w:r w:rsidR="00F75245">
        <w:rPr>
          <w:lang w:val="hr-HR"/>
        </w:rPr>
        <w:t>3,89</w:t>
      </w:r>
      <w:r w:rsidR="00C87611">
        <w:rPr>
          <w:lang w:val="hr-HR"/>
        </w:rPr>
        <w:t xml:space="preserve"> </w:t>
      </w:r>
      <w:r w:rsidR="00F46001">
        <w:rPr>
          <w:lang w:val="hr-HR"/>
        </w:rPr>
        <w:t>% u odnosu na izvršenje 202</w:t>
      </w:r>
      <w:r w:rsidR="00F75245">
        <w:rPr>
          <w:lang w:val="hr-HR"/>
        </w:rPr>
        <w:t>3</w:t>
      </w:r>
      <w:r w:rsidR="00F46001">
        <w:rPr>
          <w:lang w:val="hr-HR"/>
        </w:rPr>
        <w:t xml:space="preserve">. godine </w:t>
      </w:r>
      <w:r w:rsidR="00F75245">
        <w:rPr>
          <w:lang w:val="hr-HR"/>
        </w:rPr>
        <w:t>i za</w:t>
      </w:r>
      <w:r w:rsidR="00F46001">
        <w:rPr>
          <w:lang w:val="hr-HR"/>
        </w:rPr>
        <w:t xml:space="preserve"> </w:t>
      </w:r>
      <w:r w:rsidR="00E42FC4">
        <w:rPr>
          <w:lang w:val="hr-HR"/>
        </w:rPr>
        <w:t xml:space="preserve">10,23 </w:t>
      </w:r>
      <w:r w:rsidR="00F46001">
        <w:rPr>
          <w:lang w:val="hr-HR"/>
        </w:rPr>
        <w:t>% u odnosu na planirano</w:t>
      </w:r>
      <w:r w:rsidR="00B81D48">
        <w:rPr>
          <w:lang w:val="hr-HR"/>
        </w:rPr>
        <w:t xml:space="preserve"> u 2024.godinu</w:t>
      </w:r>
      <w:r w:rsidR="00F46001">
        <w:rPr>
          <w:lang w:val="hr-HR"/>
        </w:rPr>
        <w:t>. Najveći dio prihoda odnosi se na prihode iz nadležnog proračuna (671) koji iznose 1</w:t>
      </w:r>
      <w:r w:rsidR="00F0673A">
        <w:rPr>
          <w:lang w:val="hr-HR"/>
        </w:rPr>
        <w:t>4.672.845,43</w:t>
      </w:r>
      <w:r w:rsidR="00F46001">
        <w:rPr>
          <w:lang w:val="hr-HR"/>
        </w:rPr>
        <w:t xml:space="preserve"> €. Prihodi od pomoći (63) iznose </w:t>
      </w:r>
      <w:r w:rsidR="00F0673A">
        <w:rPr>
          <w:lang w:val="hr-HR"/>
        </w:rPr>
        <w:t>5.179.158,61</w:t>
      </w:r>
      <w:r w:rsidR="00F46001">
        <w:rPr>
          <w:lang w:val="hr-HR"/>
        </w:rPr>
        <w:t xml:space="preserve"> €, a najvećim se djelom odnose na prihode </w:t>
      </w:r>
      <w:r w:rsidR="00B81D48">
        <w:rPr>
          <w:lang w:val="hr-HR"/>
        </w:rPr>
        <w:t xml:space="preserve">temeljem </w:t>
      </w:r>
      <w:r w:rsidR="00F46001">
        <w:rPr>
          <w:lang w:val="hr-HR"/>
        </w:rPr>
        <w:t>raznih projekata. Prihodi po posebnim propisima realizirani su u iznosu od 1.</w:t>
      </w:r>
      <w:r w:rsidR="00414010">
        <w:rPr>
          <w:lang w:val="hr-HR"/>
        </w:rPr>
        <w:t>1.499.928,36 €</w:t>
      </w:r>
      <w:r w:rsidR="00F46001">
        <w:rPr>
          <w:lang w:val="hr-HR"/>
        </w:rPr>
        <w:t>, a najvećim dijelom se odnose na prihode upisnina i školarina.</w:t>
      </w:r>
      <w:r w:rsidR="00E96F58">
        <w:rPr>
          <w:lang w:val="hr-HR"/>
        </w:rPr>
        <w:t xml:space="preserve"> </w:t>
      </w:r>
    </w:p>
    <w:p w14:paraId="61B103CB" w14:textId="77777777" w:rsidR="00E32FAF" w:rsidRDefault="00E32FAF" w:rsidP="00BA6DA0">
      <w:pPr>
        <w:jc w:val="both"/>
        <w:rPr>
          <w:lang w:val="hr-HR"/>
        </w:rPr>
      </w:pPr>
    </w:p>
    <w:p w14:paraId="66C94BA2" w14:textId="193CB561" w:rsidR="00890BA8" w:rsidRDefault="00F46001" w:rsidP="00F46001">
      <w:pPr>
        <w:jc w:val="both"/>
        <w:rPr>
          <w:lang w:val="hr-HR"/>
        </w:rPr>
      </w:pPr>
      <w:r>
        <w:rPr>
          <w:lang w:val="hr-HR"/>
        </w:rPr>
        <w:t>Ukupno izvršenje rashoda za 202</w:t>
      </w:r>
      <w:r w:rsidR="00414010">
        <w:rPr>
          <w:lang w:val="hr-HR"/>
        </w:rPr>
        <w:t>4</w:t>
      </w:r>
      <w:r>
        <w:rPr>
          <w:lang w:val="hr-HR"/>
        </w:rPr>
        <w:t>. godinu iznosi</w:t>
      </w:r>
      <w:r w:rsidR="00637ADB">
        <w:rPr>
          <w:lang w:val="hr-HR"/>
        </w:rPr>
        <w:t xml:space="preserve"> </w:t>
      </w:r>
      <w:r w:rsidR="006D389B">
        <w:rPr>
          <w:lang w:val="hr-HR"/>
        </w:rPr>
        <w:t>24.035.292,84</w:t>
      </w:r>
      <w:r>
        <w:rPr>
          <w:lang w:val="hr-HR"/>
        </w:rPr>
        <w:t xml:space="preserve"> €. Izvršenje rashoda je za </w:t>
      </w:r>
      <w:r w:rsidR="006D389B">
        <w:rPr>
          <w:lang w:val="hr-HR"/>
        </w:rPr>
        <w:t>17,54</w:t>
      </w:r>
      <w:r>
        <w:rPr>
          <w:lang w:val="hr-HR"/>
        </w:rPr>
        <w:t xml:space="preserve"> % veće u odnosu na izvršenje za 202</w:t>
      </w:r>
      <w:r w:rsidR="006D389B">
        <w:rPr>
          <w:lang w:val="hr-HR"/>
        </w:rPr>
        <w:t>3</w:t>
      </w:r>
      <w:r>
        <w:rPr>
          <w:lang w:val="hr-HR"/>
        </w:rPr>
        <w:t xml:space="preserve">. godinu </w:t>
      </w:r>
      <w:r w:rsidR="006D389B">
        <w:rPr>
          <w:lang w:val="hr-HR"/>
        </w:rPr>
        <w:t>i</w:t>
      </w:r>
      <w:r>
        <w:rPr>
          <w:lang w:val="hr-HR"/>
        </w:rPr>
        <w:t xml:space="preserve"> za </w:t>
      </w:r>
      <w:r w:rsidR="006D389B">
        <w:rPr>
          <w:lang w:val="hr-HR"/>
        </w:rPr>
        <w:t>13,35</w:t>
      </w:r>
      <w:r>
        <w:rPr>
          <w:lang w:val="hr-HR"/>
        </w:rPr>
        <w:t>% u odnosu na planirano</w:t>
      </w:r>
      <w:r w:rsidR="00B81D48">
        <w:rPr>
          <w:lang w:val="hr-HR"/>
        </w:rPr>
        <w:t xml:space="preserve"> za 2024. godinu.</w:t>
      </w:r>
      <w:r w:rsidR="00DE54AD">
        <w:rPr>
          <w:lang w:val="hr-HR"/>
        </w:rPr>
        <w:t xml:space="preserve"> Rashodi se dijele na rashode poslovanja koji su realizirani u iznosu od 22.782.331,06 € i rashoda za nabavu nefinancijske imovine u iznosu od </w:t>
      </w:r>
      <w:r w:rsidR="00497CFE">
        <w:rPr>
          <w:lang w:val="hr-HR"/>
        </w:rPr>
        <w:t>1</w:t>
      </w:r>
      <w:r w:rsidR="00DE54AD">
        <w:rPr>
          <w:lang w:val="hr-HR"/>
        </w:rPr>
        <w:t>.252.961,78 €.</w:t>
      </w:r>
    </w:p>
    <w:p w14:paraId="343CAB22" w14:textId="4906FD6A" w:rsidR="00F46001" w:rsidRDefault="00F46001" w:rsidP="00F46001">
      <w:pPr>
        <w:jc w:val="both"/>
        <w:rPr>
          <w:lang w:val="hr-HR"/>
        </w:rPr>
      </w:pPr>
      <w:r>
        <w:rPr>
          <w:lang w:val="hr-HR"/>
        </w:rPr>
        <w:t xml:space="preserve">Najveći dio rashoda </w:t>
      </w:r>
      <w:r w:rsidR="00B81D48">
        <w:rPr>
          <w:lang w:val="hr-HR"/>
        </w:rPr>
        <w:t xml:space="preserve">poslovanja </w:t>
      </w:r>
      <w:r>
        <w:rPr>
          <w:lang w:val="hr-HR"/>
        </w:rPr>
        <w:t>odnosi se na rashode za zaposlene koji iznose 1</w:t>
      </w:r>
      <w:r w:rsidR="00C77091">
        <w:rPr>
          <w:lang w:val="hr-HR"/>
        </w:rPr>
        <w:t>3.069.656,06</w:t>
      </w:r>
      <w:r>
        <w:rPr>
          <w:lang w:val="hr-HR"/>
        </w:rPr>
        <w:t xml:space="preserve"> €.</w:t>
      </w:r>
      <w:r w:rsidR="00C47939">
        <w:rPr>
          <w:lang w:val="hr-HR"/>
        </w:rPr>
        <w:t xml:space="preserve"> Do povećanja rashoda za zaposlene u odnosu na 2023. godinu došlo je </w:t>
      </w:r>
      <w:r w:rsidR="00B81D48">
        <w:rPr>
          <w:lang w:val="hr-HR"/>
        </w:rPr>
        <w:t xml:space="preserve">dominantno </w:t>
      </w:r>
      <w:r w:rsidR="00C47939">
        <w:rPr>
          <w:lang w:val="hr-HR"/>
        </w:rPr>
        <w:t>zbog povećanja plaća financiranih iz državnog proračuna.</w:t>
      </w:r>
      <w:r>
        <w:rPr>
          <w:lang w:val="hr-HR"/>
        </w:rPr>
        <w:t xml:space="preserve"> Materijalni rashodi realizirani su u </w:t>
      </w:r>
      <w:r>
        <w:rPr>
          <w:lang w:val="hr-HR"/>
        </w:rPr>
        <w:lastRenderedPageBreak/>
        <w:t xml:space="preserve">iznosu od </w:t>
      </w:r>
      <w:r w:rsidR="00C77091">
        <w:rPr>
          <w:lang w:val="hr-HR"/>
        </w:rPr>
        <w:t>4.568.521,86</w:t>
      </w:r>
      <w:r>
        <w:rPr>
          <w:lang w:val="hr-HR"/>
        </w:rPr>
        <w:t xml:space="preserve"> €. </w:t>
      </w:r>
      <w:r w:rsidR="00B81D48">
        <w:rPr>
          <w:lang w:val="hr-HR"/>
        </w:rPr>
        <w:t>Isplać</w:t>
      </w:r>
      <w:r w:rsidR="009F1981">
        <w:rPr>
          <w:lang w:val="hr-HR"/>
        </w:rPr>
        <w:t>e</w:t>
      </w:r>
      <w:r w:rsidR="00B81D48">
        <w:rPr>
          <w:lang w:val="hr-HR"/>
        </w:rPr>
        <w:t>ne s</w:t>
      </w:r>
      <w:r>
        <w:rPr>
          <w:lang w:val="hr-HR"/>
        </w:rPr>
        <w:t>ubvencije u iznosu od 51</w:t>
      </w:r>
      <w:r w:rsidR="007803BF">
        <w:rPr>
          <w:lang w:val="hr-HR"/>
        </w:rPr>
        <w:t>7.882,52</w:t>
      </w:r>
      <w:r>
        <w:rPr>
          <w:lang w:val="hr-HR"/>
        </w:rPr>
        <w:t xml:space="preserve"> € odnose se na </w:t>
      </w:r>
      <w:r w:rsidR="00784EA6">
        <w:rPr>
          <w:lang w:val="hr-HR"/>
        </w:rPr>
        <w:t>prijenos sredstava iz EU projekata prema trgovačkim društvima.</w:t>
      </w:r>
    </w:p>
    <w:p w14:paraId="5EE36E74" w14:textId="2C34A7AC" w:rsidR="00784EA6" w:rsidRDefault="00784EA6" w:rsidP="00F46001">
      <w:pPr>
        <w:jc w:val="both"/>
        <w:rPr>
          <w:lang w:val="hr-HR"/>
        </w:rPr>
      </w:pPr>
      <w:r>
        <w:rPr>
          <w:lang w:val="hr-HR"/>
        </w:rPr>
        <w:t xml:space="preserve">Rashodi za nabavu nefinancijske imovine realizirani su u iznosu od </w:t>
      </w:r>
      <w:r w:rsidR="007803BF">
        <w:rPr>
          <w:lang w:val="hr-HR"/>
        </w:rPr>
        <w:t>1.252.961,78</w:t>
      </w:r>
      <w:r>
        <w:rPr>
          <w:lang w:val="hr-HR"/>
        </w:rPr>
        <w:t xml:space="preserve"> €, te su za </w:t>
      </w:r>
      <w:r w:rsidR="00D90EAE">
        <w:rPr>
          <w:lang w:val="hr-HR"/>
        </w:rPr>
        <w:t xml:space="preserve">47,36 </w:t>
      </w:r>
      <w:r>
        <w:rPr>
          <w:lang w:val="hr-HR"/>
        </w:rPr>
        <w:t xml:space="preserve">% </w:t>
      </w:r>
      <w:r w:rsidR="00D90EAE">
        <w:rPr>
          <w:lang w:val="hr-HR"/>
        </w:rPr>
        <w:t>veći</w:t>
      </w:r>
      <w:r>
        <w:rPr>
          <w:lang w:val="hr-HR"/>
        </w:rPr>
        <w:t xml:space="preserve"> od </w:t>
      </w:r>
      <w:r w:rsidR="00D90EAE">
        <w:rPr>
          <w:lang w:val="hr-HR"/>
        </w:rPr>
        <w:t>iznosa za 2023. godinu</w:t>
      </w:r>
      <w:r w:rsidR="009F1981">
        <w:rPr>
          <w:lang w:val="hr-HR"/>
        </w:rPr>
        <w:t xml:space="preserve"> što je rezultat intenziviranja kapitalnih rashoda na području sveučilišnog Kampusa i provođenja projekta Žilavi Kampus.</w:t>
      </w:r>
    </w:p>
    <w:p w14:paraId="27672E62" w14:textId="77777777" w:rsidR="00E32FAF" w:rsidRDefault="00E32FAF" w:rsidP="00F46001">
      <w:pPr>
        <w:jc w:val="both"/>
        <w:rPr>
          <w:lang w:val="hr-HR"/>
        </w:rPr>
      </w:pPr>
    </w:p>
    <w:p w14:paraId="63B840E4" w14:textId="5B485E2B" w:rsidR="00C515C2" w:rsidRDefault="00E32FAF" w:rsidP="00E32FAF">
      <w:pPr>
        <w:jc w:val="both"/>
        <w:rPr>
          <w:lang w:val="hr-HR"/>
        </w:rPr>
      </w:pPr>
      <w:r>
        <w:rPr>
          <w:lang w:val="hr-HR"/>
        </w:rPr>
        <w:t xml:space="preserve">Kod većine stavaka </w:t>
      </w:r>
      <w:r w:rsidR="009F1981">
        <w:rPr>
          <w:lang w:val="hr-HR"/>
        </w:rPr>
        <w:t xml:space="preserve">prihoda i rashoda </w:t>
      </w:r>
      <w:r>
        <w:rPr>
          <w:lang w:val="hr-HR"/>
        </w:rPr>
        <w:t xml:space="preserve">iznosi izvršenja </w:t>
      </w:r>
      <w:r w:rsidR="009F1981">
        <w:rPr>
          <w:lang w:val="hr-HR"/>
        </w:rPr>
        <w:t>premašuju</w:t>
      </w:r>
      <w:r>
        <w:rPr>
          <w:lang w:val="hr-HR"/>
        </w:rPr>
        <w:t xml:space="preserve"> planiran</w:t>
      </w:r>
      <w:r w:rsidR="009F1981">
        <w:rPr>
          <w:lang w:val="hr-HR"/>
        </w:rPr>
        <w:t>e</w:t>
      </w:r>
      <w:r>
        <w:rPr>
          <w:lang w:val="hr-HR"/>
        </w:rPr>
        <w:t xml:space="preserve"> iznos</w:t>
      </w:r>
      <w:r w:rsidR="009F1981">
        <w:rPr>
          <w:lang w:val="hr-HR"/>
        </w:rPr>
        <w:t>e</w:t>
      </w:r>
      <w:r>
        <w:rPr>
          <w:lang w:val="hr-HR"/>
        </w:rPr>
        <w:t xml:space="preserve">. Do navedenog je najvećim dijelom došlo zbog promjene samog načina izrade rebalansa </w:t>
      </w:r>
      <w:r w:rsidR="009F1981">
        <w:rPr>
          <w:lang w:val="hr-HR"/>
        </w:rPr>
        <w:t xml:space="preserve">financijskog plana </w:t>
      </w:r>
      <w:r>
        <w:rPr>
          <w:lang w:val="hr-HR"/>
        </w:rPr>
        <w:t>za 2024. godinu</w:t>
      </w:r>
      <w:r w:rsidR="009F1981">
        <w:rPr>
          <w:lang w:val="hr-HR"/>
        </w:rPr>
        <w:t xml:space="preserve"> pri čemu su uvaženi planski iznosi (limiti) koji su,</w:t>
      </w:r>
      <w:r w:rsidR="00F45DCC">
        <w:rPr>
          <w:lang w:val="hr-HR"/>
        </w:rPr>
        <w:t xml:space="preserve"> </w:t>
      </w:r>
      <w:r w:rsidR="009F1981">
        <w:rPr>
          <w:lang w:val="hr-HR"/>
        </w:rPr>
        <w:t>posredstvom nadležnog  ministarstva, ugrađeni u Državni proračun neovisno o stvarnim potrebama Sveučilišta za izmjenama i dopunama financijskog plana. Naime, u pripremi</w:t>
      </w:r>
      <w:r>
        <w:rPr>
          <w:lang w:val="hr-HR"/>
        </w:rPr>
        <w:t xml:space="preserve"> izrade rebalansa </w:t>
      </w:r>
      <w:r w:rsidR="00386737">
        <w:rPr>
          <w:lang w:val="hr-HR"/>
        </w:rPr>
        <w:t>D</w:t>
      </w:r>
      <w:r w:rsidR="009F1981">
        <w:rPr>
          <w:lang w:val="hr-HR"/>
        </w:rPr>
        <w:t xml:space="preserve">ržavnoga proračuna </w:t>
      </w:r>
      <w:r>
        <w:rPr>
          <w:lang w:val="hr-HR"/>
        </w:rPr>
        <w:t>za 2024. godinu</w:t>
      </w:r>
      <w:r w:rsidR="009F1981">
        <w:rPr>
          <w:lang w:val="hr-HR"/>
        </w:rPr>
        <w:t>,</w:t>
      </w:r>
      <w:r>
        <w:rPr>
          <w:lang w:val="hr-HR"/>
        </w:rPr>
        <w:t xml:space="preserve"> po prvi puta Ministarstvo znanosti, obrazovanja i mladih (dalje u tekstu: MZOM) zatražilo je od Sveučilišta u Rijeci dostavu podataka </w:t>
      </w:r>
      <w:r w:rsidR="009F1981">
        <w:rPr>
          <w:lang w:val="hr-HR"/>
        </w:rPr>
        <w:t xml:space="preserve">o potrebnoj izmjeni i dopuni financijskog plana, a </w:t>
      </w:r>
      <w:r>
        <w:rPr>
          <w:lang w:val="hr-HR"/>
        </w:rPr>
        <w:t xml:space="preserve">koji će se uključiti u rebalans </w:t>
      </w:r>
      <w:r w:rsidR="00386737">
        <w:rPr>
          <w:lang w:val="hr-HR"/>
        </w:rPr>
        <w:t xml:space="preserve">MZOM-a, odnosno </w:t>
      </w:r>
      <w:r>
        <w:rPr>
          <w:lang w:val="hr-HR"/>
        </w:rPr>
        <w:t xml:space="preserve">Državnog proračuna. Ovi podaci zatraženi su u kolovozu 2024. godine, a MZOM je tek početkom prosinca </w:t>
      </w:r>
      <w:r w:rsidR="00386737">
        <w:rPr>
          <w:lang w:val="hr-HR"/>
        </w:rPr>
        <w:t xml:space="preserve">povratno dostavilo </w:t>
      </w:r>
      <w:r>
        <w:rPr>
          <w:lang w:val="hr-HR"/>
        </w:rPr>
        <w:t xml:space="preserve">podatke </w:t>
      </w:r>
      <w:r w:rsidR="00386737">
        <w:rPr>
          <w:lang w:val="hr-HR"/>
        </w:rPr>
        <w:t xml:space="preserve">o dozvoljenim izmjenama i dopunama financijskog plana Sveučilišta </w:t>
      </w:r>
      <w:r>
        <w:rPr>
          <w:lang w:val="hr-HR"/>
        </w:rPr>
        <w:t>koj</w:t>
      </w:r>
      <w:r w:rsidR="00386737">
        <w:rPr>
          <w:lang w:val="hr-HR"/>
        </w:rPr>
        <w:t>e</w:t>
      </w:r>
      <w:r>
        <w:rPr>
          <w:lang w:val="hr-HR"/>
        </w:rPr>
        <w:t xml:space="preserve"> su uključen</w:t>
      </w:r>
      <w:r w:rsidR="00386737">
        <w:rPr>
          <w:lang w:val="hr-HR"/>
        </w:rPr>
        <w:t xml:space="preserve">e </w:t>
      </w:r>
      <w:r>
        <w:rPr>
          <w:lang w:val="hr-HR"/>
        </w:rPr>
        <w:t xml:space="preserve">i u </w:t>
      </w:r>
      <w:r w:rsidR="00386737">
        <w:rPr>
          <w:lang w:val="hr-HR"/>
        </w:rPr>
        <w:t xml:space="preserve">Državni </w:t>
      </w:r>
      <w:r>
        <w:rPr>
          <w:lang w:val="hr-HR"/>
        </w:rPr>
        <w:t>proračun</w:t>
      </w:r>
      <w:r w:rsidR="00386737">
        <w:rPr>
          <w:lang w:val="hr-HR"/>
        </w:rPr>
        <w:t>. S obzirom na obvezujuću metodologiju „top-</w:t>
      </w:r>
      <w:proofErr w:type="spellStart"/>
      <w:r w:rsidR="00386737">
        <w:rPr>
          <w:lang w:val="hr-HR"/>
        </w:rPr>
        <w:t>down</w:t>
      </w:r>
      <w:proofErr w:type="spellEnd"/>
      <w:r w:rsidR="00386737">
        <w:rPr>
          <w:lang w:val="hr-HR"/>
        </w:rPr>
        <w:t>“ financijskog planiranja i usklađenost s nadležnim proračunom,</w:t>
      </w:r>
      <w:r>
        <w:rPr>
          <w:lang w:val="hr-HR"/>
        </w:rPr>
        <w:t xml:space="preserve"> </w:t>
      </w:r>
      <w:r w:rsidR="00386737">
        <w:rPr>
          <w:lang w:val="hr-HR"/>
        </w:rPr>
        <w:t xml:space="preserve">rebalans financijskog plana Sveučilišta izrađen je i usvojen sukladno tome premda je, zbog neuvažavanja stvarnih potreba, </w:t>
      </w:r>
      <w:r w:rsidR="00C515C2">
        <w:rPr>
          <w:lang w:val="hr-HR"/>
        </w:rPr>
        <w:t xml:space="preserve">već tada </w:t>
      </w:r>
      <w:r w:rsidR="00386737">
        <w:rPr>
          <w:lang w:val="hr-HR"/>
        </w:rPr>
        <w:t>bilo očito da će se u izvršenju financijskog plana posljedično pojaviti značajnija odstupanja.</w:t>
      </w:r>
    </w:p>
    <w:p w14:paraId="708135D3" w14:textId="7B874A2A" w:rsidR="00E32FAF" w:rsidRDefault="00C515C2" w:rsidP="00E32FAF">
      <w:pPr>
        <w:jc w:val="both"/>
        <w:rPr>
          <w:lang w:val="hr-HR"/>
        </w:rPr>
      </w:pPr>
      <w:r>
        <w:rPr>
          <w:lang w:val="hr-HR"/>
        </w:rPr>
        <w:t>Osim navedenoga do određenih odstupanja u izvršenju je došlo i uslijed zakonske mogućnosti fleksibilizacije izvršenja financijskih planova i proračuna</w:t>
      </w:r>
      <w:r w:rsidR="00E32FAF">
        <w:rPr>
          <w:lang w:val="hr-HR"/>
        </w:rPr>
        <w:t xml:space="preserve"> </w:t>
      </w:r>
      <w:r>
        <w:rPr>
          <w:lang w:val="hr-HR"/>
        </w:rPr>
        <w:t>u dijelu ostvarivanja i trošenja vlastitih i namjenskih prihoda koji nisu planirani (čl. 53. i 54. Zakona o proračunu).</w:t>
      </w:r>
    </w:p>
    <w:p w14:paraId="78C9CB17" w14:textId="77777777" w:rsidR="00E32FAF" w:rsidRDefault="00E32FAF" w:rsidP="00F46001">
      <w:pPr>
        <w:jc w:val="both"/>
        <w:rPr>
          <w:lang w:val="hr-HR"/>
        </w:rPr>
      </w:pPr>
    </w:p>
    <w:p w14:paraId="213A5026" w14:textId="77777777" w:rsidR="009364C6" w:rsidRDefault="009364C6" w:rsidP="00F46001">
      <w:pPr>
        <w:jc w:val="both"/>
        <w:rPr>
          <w:lang w:val="hr-HR"/>
        </w:rPr>
      </w:pPr>
    </w:p>
    <w:p w14:paraId="422A7FD0" w14:textId="77777777" w:rsidR="00890BA8" w:rsidRPr="00890BA8" w:rsidRDefault="00890BA8" w:rsidP="00BA6DA0">
      <w:pPr>
        <w:jc w:val="both"/>
        <w:rPr>
          <w:lang w:val="hr-HR"/>
        </w:rPr>
      </w:pPr>
    </w:p>
    <w:p w14:paraId="737638E2" w14:textId="77777777" w:rsidR="00890BA8" w:rsidRPr="00890BA8" w:rsidRDefault="00890BA8" w:rsidP="00BA6DA0">
      <w:pPr>
        <w:jc w:val="both"/>
        <w:rPr>
          <w:b/>
          <w:bCs/>
          <w:u w:val="single"/>
          <w:lang w:val="hr-HR"/>
        </w:rPr>
      </w:pPr>
      <w:bookmarkStart w:id="1" w:name="_Hlk140483490"/>
      <w:r w:rsidRPr="00890BA8">
        <w:rPr>
          <w:b/>
          <w:bCs/>
          <w:u w:val="single"/>
          <w:lang w:val="hr-HR"/>
        </w:rPr>
        <w:t>IZVJEŠTAJ O IZVRŠENIM PRIHODIMA I RASHODIMA PREMA IZVORIMA FINANCIRANJA</w:t>
      </w:r>
    </w:p>
    <w:bookmarkEnd w:id="1"/>
    <w:p w14:paraId="19712CA4" w14:textId="77777777" w:rsidR="00890BA8" w:rsidRPr="00890BA8" w:rsidRDefault="00890BA8" w:rsidP="00BA6DA0">
      <w:pPr>
        <w:jc w:val="both"/>
        <w:rPr>
          <w:lang w:val="hr-HR"/>
        </w:rPr>
      </w:pPr>
    </w:p>
    <w:p w14:paraId="0CB77D72" w14:textId="1FC5A097" w:rsidR="00A5374F" w:rsidRDefault="00890BA8" w:rsidP="00BA6DA0">
      <w:pPr>
        <w:jc w:val="both"/>
        <w:rPr>
          <w:lang w:val="hr-HR"/>
        </w:rPr>
      </w:pPr>
      <w:r w:rsidRPr="00890BA8">
        <w:rPr>
          <w:lang w:val="hr-HR"/>
        </w:rPr>
        <w:t xml:space="preserve">Izvršenje prihoda prema izvorima financiranja ne odstupa od planiranog izvršenja prema ekonomskoj klasifikaciji. </w:t>
      </w:r>
      <w:r w:rsidR="00784EA6">
        <w:rPr>
          <w:lang w:val="hr-HR"/>
        </w:rPr>
        <w:t xml:space="preserve">Najveći dio prihoda realiziran je iz izvora 1.1. u iznosu od </w:t>
      </w:r>
      <w:r w:rsidR="00952580">
        <w:rPr>
          <w:lang w:val="hr-HR"/>
        </w:rPr>
        <w:t>14.672</w:t>
      </w:r>
      <w:r w:rsidR="001848CA">
        <w:rPr>
          <w:lang w:val="hr-HR"/>
        </w:rPr>
        <w:t>.</w:t>
      </w:r>
      <w:r w:rsidR="00952580">
        <w:rPr>
          <w:lang w:val="hr-HR"/>
        </w:rPr>
        <w:t>845,43</w:t>
      </w:r>
      <w:r w:rsidR="00784EA6">
        <w:rPr>
          <w:lang w:val="hr-HR"/>
        </w:rPr>
        <w:t xml:space="preserve"> </w:t>
      </w:r>
      <w:r w:rsidR="006C6303" w:rsidRPr="006C6303">
        <w:rPr>
          <w:lang w:val="hr-HR"/>
        </w:rPr>
        <w:t>€</w:t>
      </w:r>
      <w:r w:rsidR="006C6303">
        <w:rPr>
          <w:lang w:val="hr-HR"/>
        </w:rPr>
        <w:t>, koji su za 1</w:t>
      </w:r>
      <w:r w:rsidR="00EF35C9">
        <w:rPr>
          <w:lang w:val="hr-HR"/>
        </w:rPr>
        <w:t xml:space="preserve">0,09 </w:t>
      </w:r>
      <w:r w:rsidR="006C6303">
        <w:rPr>
          <w:lang w:val="hr-HR"/>
        </w:rPr>
        <w:t>% veći u odnosu na realizirano u 202</w:t>
      </w:r>
      <w:r w:rsidR="00EF35C9">
        <w:rPr>
          <w:lang w:val="hr-HR"/>
        </w:rPr>
        <w:t>3</w:t>
      </w:r>
      <w:r w:rsidR="006C6303">
        <w:rPr>
          <w:lang w:val="hr-HR"/>
        </w:rPr>
        <w:t>. godini</w:t>
      </w:r>
      <w:r w:rsidR="00EF35C9">
        <w:rPr>
          <w:lang w:val="hr-HR"/>
        </w:rPr>
        <w:t xml:space="preserve"> i </w:t>
      </w:r>
      <w:r w:rsidR="006C6303">
        <w:rPr>
          <w:lang w:val="hr-HR"/>
        </w:rPr>
        <w:t>za 1</w:t>
      </w:r>
      <w:r w:rsidR="00EF35C9">
        <w:rPr>
          <w:lang w:val="hr-HR"/>
        </w:rPr>
        <w:t xml:space="preserve">2,87 </w:t>
      </w:r>
      <w:r w:rsidR="006C6303">
        <w:rPr>
          <w:lang w:val="hr-HR"/>
        </w:rPr>
        <w:t>% u odnosu na planirani iznos.</w:t>
      </w:r>
      <w:r w:rsidR="00A5374F">
        <w:rPr>
          <w:lang w:val="hr-HR"/>
        </w:rPr>
        <w:t xml:space="preserve"> Prihodi izvora 1.1. iznose 66,54 % ukupnih prihoda</w:t>
      </w:r>
      <w:r w:rsidR="006C6303">
        <w:rPr>
          <w:lang w:val="hr-HR"/>
        </w:rPr>
        <w:t xml:space="preserve">. </w:t>
      </w:r>
    </w:p>
    <w:p w14:paraId="3A241F17" w14:textId="21B0A6AD" w:rsidR="00784EA6" w:rsidRDefault="006C6303" w:rsidP="00BA6DA0">
      <w:pPr>
        <w:jc w:val="both"/>
        <w:rPr>
          <w:lang w:val="hr-HR"/>
        </w:rPr>
      </w:pPr>
      <w:r>
        <w:rPr>
          <w:lang w:val="hr-HR"/>
        </w:rPr>
        <w:t xml:space="preserve">Iz izvora 5.2. uprihodili smo iznos od  </w:t>
      </w:r>
      <w:r w:rsidR="001E2155">
        <w:rPr>
          <w:lang w:val="hr-HR"/>
        </w:rPr>
        <w:t xml:space="preserve">3.790.309,32 </w:t>
      </w:r>
      <w:r w:rsidR="002C1E7F">
        <w:rPr>
          <w:lang w:val="hr-HR"/>
        </w:rPr>
        <w:t>€</w:t>
      </w:r>
      <w:r w:rsidR="001E2155">
        <w:rPr>
          <w:lang w:val="hr-HR"/>
        </w:rPr>
        <w:t>, a iz izvora 5.1.</w:t>
      </w:r>
      <w:r>
        <w:rPr>
          <w:lang w:val="hr-HR"/>
        </w:rPr>
        <w:t xml:space="preserve"> </w:t>
      </w:r>
      <w:r w:rsidR="002C1E7F">
        <w:rPr>
          <w:lang w:val="hr-HR"/>
        </w:rPr>
        <w:t xml:space="preserve">1.091.720,21 </w:t>
      </w:r>
      <w:r>
        <w:rPr>
          <w:lang w:val="hr-HR"/>
        </w:rPr>
        <w:t>€. Izvor</w:t>
      </w:r>
      <w:r w:rsidR="002C1E7F">
        <w:rPr>
          <w:lang w:val="hr-HR"/>
        </w:rPr>
        <w:t xml:space="preserve"> 5.1. i</w:t>
      </w:r>
      <w:r>
        <w:rPr>
          <w:lang w:val="hr-HR"/>
        </w:rPr>
        <w:t xml:space="preserve"> 5.2. najvećim se dijelom odnosi na projektno financiranje</w:t>
      </w:r>
      <w:r w:rsidR="002C1E7F">
        <w:rPr>
          <w:lang w:val="hr-HR"/>
        </w:rPr>
        <w:t>.</w:t>
      </w:r>
      <w:r w:rsidR="00037708">
        <w:rPr>
          <w:lang w:val="hr-HR"/>
        </w:rPr>
        <w:t xml:space="preserve"> Oba iznosa manji su u odnosu na 2023. godinu iz razloga </w:t>
      </w:r>
      <w:r w:rsidR="00C515C2">
        <w:rPr>
          <w:lang w:val="hr-HR"/>
        </w:rPr>
        <w:t xml:space="preserve">neujednačene </w:t>
      </w:r>
      <w:r w:rsidR="00037708">
        <w:rPr>
          <w:lang w:val="hr-HR"/>
        </w:rPr>
        <w:t xml:space="preserve">dinamike uplata za pojedine projekte. Prihodi ova dva izvora iznose </w:t>
      </w:r>
      <w:r w:rsidR="000D5769">
        <w:rPr>
          <w:lang w:val="hr-HR"/>
        </w:rPr>
        <w:t xml:space="preserve">23,49 </w:t>
      </w:r>
      <w:r w:rsidR="00C515C2">
        <w:rPr>
          <w:lang w:val="hr-HR"/>
        </w:rPr>
        <w:t>%</w:t>
      </w:r>
      <w:r w:rsidR="000D5769">
        <w:rPr>
          <w:lang w:val="hr-HR"/>
        </w:rPr>
        <w:t xml:space="preserve"> ukupnih prihoda.</w:t>
      </w:r>
      <w:r w:rsidR="00F80618">
        <w:rPr>
          <w:lang w:val="hr-HR"/>
        </w:rPr>
        <w:t xml:space="preserve"> </w:t>
      </w:r>
    </w:p>
    <w:p w14:paraId="276E9ACF" w14:textId="2B70A727" w:rsidR="00F80618" w:rsidRDefault="00F80618" w:rsidP="00BA6DA0">
      <w:pPr>
        <w:jc w:val="both"/>
        <w:rPr>
          <w:lang w:val="hr-HR"/>
        </w:rPr>
      </w:pPr>
      <w:r>
        <w:rPr>
          <w:lang w:val="hr-HR"/>
        </w:rPr>
        <w:t xml:space="preserve">Prihodi po posebnim propisima najvećim se dijelom odnose na prihode </w:t>
      </w:r>
      <w:r w:rsidR="00C515C2">
        <w:rPr>
          <w:lang w:val="hr-HR"/>
        </w:rPr>
        <w:t xml:space="preserve">od </w:t>
      </w:r>
      <w:r>
        <w:rPr>
          <w:lang w:val="hr-HR"/>
        </w:rPr>
        <w:t xml:space="preserve">upisnina </w:t>
      </w:r>
      <w:r w:rsidR="009B0876">
        <w:rPr>
          <w:lang w:val="hr-HR"/>
        </w:rPr>
        <w:t>koja uplaćuju sve sastavnice</w:t>
      </w:r>
      <w:r w:rsidR="0052472E">
        <w:rPr>
          <w:lang w:val="hr-HR"/>
        </w:rPr>
        <w:t xml:space="preserve"> Sveučilišta</w:t>
      </w:r>
      <w:r w:rsidR="009B0876">
        <w:rPr>
          <w:lang w:val="hr-HR"/>
        </w:rPr>
        <w:t xml:space="preserve"> </w:t>
      </w:r>
      <w:r w:rsidR="0052472E">
        <w:rPr>
          <w:lang w:val="hr-HR"/>
        </w:rPr>
        <w:t>te</w:t>
      </w:r>
      <w:r w:rsidR="009B0876">
        <w:rPr>
          <w:lang w:val="hr-HR"/>
        </w:rPr>
        <w:t xml:space="preserve"> prihode školarina sastavnica </w:t>
      </w:r>
      <w:r w:rsidR="0052472E">
        <w:rPr>
          <w:lang w:val="hr-HR"/>
        </w:rPr>
        <w:t xml:space="preserve">Sveučilišta </w:t>
      </w:r>
      <w:r w:rsidR="009B0876">
        <w:rPr>
          <w:lang w:val="hr-HR"/>
        </w:rPr>
        <w:t>bez pravne osobnosti (podružnice Sveučilišta)</w:t>
      </w:r>
      <w:r w:rsidR="0052472E">
        <w:rPr>
          <w:lang w:val="hr-HR"/>
        </w:rPr>
        <w:t>. Ovi prihodi</w:t>
      </w:r>
      <w:r w:rsidR="009B0876">
        <w:rPr>
          <w:lang w:val="hr-HR"/>
        </w:rPr>
        <w:t xml:space="preserve"> iznose 1,499.928,38</w:t>
      </w:r>
      <w:r w:rsidR="0052472E">
        <w:rPr>
          <w:lang w:val="hr-HR"/>
        </w:rPr>
        <w:t xml:space="preserve"> </w:t>
      </w:r>
      <w:r w:rsidR="00EF6F5D">
        <w:rPr>
          <w:lang w:val="hr-HR"/>
        </w:rPr>
        <w:t>€</w:t>
      </w:r>
      <w:r w:rsidR="00280DB4">
        <w:rPr>
          <w:lang w:val="hr-HR"/>
        </w:rPr>
        <w:t xml:space="preserve"> </w:t>
      </w:r>
      <w:r w:rsidR="009B0876">
        <w:rPr>
          <w:lang w:val="hr-HR"/>
        </w:rPr>
        <w:t xml:space="preserve">, odnosno </w:t>
      </w:r>
      <w:r w:rsidR="00281782">
        <w:rPr>
          <w:lang w:val="hr-HR"/>
        </w:rPr>
        <w:t>6,80 % ukupni</w:t>
      </w:r>
      <w:r w:rsidR="0052472E">
        <w:rPr>
          <w:lang w:val="hr-HR"/>
        </w:rPr>
        <w:t>h</w:t>
      </w:r>
      <w:r w:rsidR="00281782">
        <w:rPr>
          <w:lang w:val="hr-HR"/>
        </w:rPr>
        <w:t xml:space="preserve"> prihoda</w:t>
      </w:r>
      <w:r w:rsidR="006B3258">
        <w:rPr>
          <w:lang w:val="hr-HR"/>
        </w:rPr>
        <w:t>. Svi ostali izvori (</w:t>
      </w:r>
      <w:r w:rsidR="00F061B7">
        <w:rPr>
          <w:lang w:val="hr-HR"/>
        </w:rPr>
        <w:t>3.1., 5.8., 6.1. i 7.1.)</w:t>
      </w:r>
      <w:r w:rsidR="006B3258">
        <w:rPr>
          <w:lang w:val="hr-HR"/>
        </w:rPr>
        <w:t xml:space="preserve"> </w:t>
      </w:r>
      <w:r w:rsidR="0052472E">
        <w:rPr>
          <w:lang w:val="hr-HR"/>
        </w:rPr>
        <w:t>čine tek</w:t>
      </w:r>
      <w:r w:rsidR="006B3258">
        <w:rPr>
          <w:lang w:val="hr-HR"/>
        </w:rPr>
        <w:t xml:space="preserve"> 3,17 % ukupnih prihoda</w:t>
      </w:r>
      <w:r w:rsidR="0052472E">
        <w:rPr>
          <w:lang w:val="hr-HR"/>
        </w:rPr>
        <w:t xml:space="preserve"> Sveučilišta.</w:t>
      </w:r>
    </w:p>
    <w:p w14:paraId="0C97F95C" w14:textId="3D460215" w:rsidR="006C6303" w:rsidRDefault="006C6303" w:rsidP="00BA6DA0">
      <w:pPr>
        <w:jc w:val="both"/>
        <w:rPr>
          <w:lang w:val="hr-HR"/>
        </w:rPr>
      </w:pPr>
    </w:p>
    <w:p w14:paraId="3EBC7586" w14:textId="1BC946C1" w:rsidR="005E03E5" w:rsidRDefault="006C6303" w:rsidP="00BA6DA0">
      <w:pPr>
        <w:jc w:val="both"/>
        <w:rPr>
          <w:lang w:val="hr-HR"/>
        </w:rPr>
      </w:pPr>
      <w:r>
        <w:rPr>
          <w:lang w:val="hr-HR"/>
        </w:rPr>
        <w:lastRenderedPageBreak/>
        <w:t xml:space="preserve">Rashodi su najvećim dijelom također financirani iz izvora 1.1. </w:t>
      </w:r>
      <w:r w:rsidR="0052472E">
        <w:rPr>
          <w:lang w:val="hr-HR"/>
        </w:rPr>
        <w:t xml:space="preserve">i to </w:t>
      </w:r>
      <w:r w:rsidR="009A26BC">
        <w:rPr>
          <w:lang w:val="hr-HR"/>
        </w:rPr>
        <w:t>u iznosu od 1</w:t>
      </w:r>
      <w:r w:rsidR="00F061B7">
        <w:rPr>
          <w:lang w:val="hr-HR"/>
        </w:rPr>
        <w:t>5.445.996,80</w:t>
      </w:r>
      <w:r w:rsidR="009A26BC">
        <w:rPr>
          <w:lang w:val="hr-HR"/>
        </w:rPr>
        <w:t xml:space="preserve"> €</w:t>
      </w:r>
      <w:r w:rsidR="00F061B7">
        <w:rPr>
          <w:lang w:val="hr-HR"/>
        </w:rPr>
        <w:t xml:space="preserve">, </w:t>
      </w:r>
      <w:r w:rsidR="0052472E">
        <w:rPr>
          <w:lang w:val="hr-HR"/>
        </w:rPr>
        <w:t>što čini</w:t>
      </w:r>
      <w:r w:rsidR="00F061B7">
        <w:rPr>
          <w:lang w:val="hr-HR"/>
        </w:rPr>
        <w:t xml:space="preserve"> </w:t>
      </w:r>
      <w:r w:rsidR="00060F23">
        <w:rPr>
          <w:lang w:val="hr-HR"/>
        </w:rPr>
        <w:t>64,26 % ukupnih rashoda.</w:t>
      </w:r>
      <w:r w:rsidR="009A26BC">
        <w:rPr>
          <w:lang w:val="hr-HR"/>
        </w:rPr>
        <w:t xml:space="preserve"> Ovi rashodi najvećim dijelom se odnose na plaće i materijalna prava, ali i financiranje redovnog poslovanja</w:t>
      </w:r>
      <w:r w:rsidR="005E03E5">
        <w:rPr>
          <w:lang w:val="hr-HR"/>
        </w:rPr>
        <w:t>, te znanstvenih aktivnosti Sveučilišta</w:t>
      </w:r>
      <w:r w:rsidR="009A26BC">
        <w:rPr>
          <w:lang w:val="hr-HR"/>
        </w:rPr>
        <w:t xml:space="preserve">. </w:t>
      </w:r>
    </w:p>
    <w:p w14:paraId="41CABA4B" w14:textId="1EE2906B" w:rsidR="006C6303" w:rsidRDefault="009A26BC" w:rsidP="00BA6DA0">
      <w:pPr>
        <w:jc w:val="both"/>
        <w:rPr>
          <w:lang w:val="hr-HR"/>
        </w:rPr>
      </w:pPr>
      <w:r>
        <w:rPr>
          <w:lang w:val="hr-HR"/>
        </w:rPr>
        <w:t xml:space="preserve">Iz izvora 5.2. realizirani su rashodi u iznosu od </w:t>
      </w:r>
      <w:r w:rsidR="005E03E5">
        <w:rPr>
          <w:lang w:val="hr-HR"/>
        </w:rPr>
        <w:t>4.094.278,27</w:t>
      </w:r>
      <w:r>
        <w:rPr>
          <w:lang w:val="hr-HR"/>
        </w:rPr>
        <w:t xml:space="preserve"> €, a iz izvora 5.1. u iznosu od 1.</w:t>
      </w:r>
      <w:r w:rsidR="007106AA">
        <w:rPr>
          <w:lang w:val="hr-HR"/>
        </w:rPr>
        <w:t>108.878,34</w:t>
      </w:r>
      <w:r>
        <w:rPr>
          <w:lang w:val="hr-HR"/>
        </w:rPr>
        <w:t xml:space="preserve"> €. Iznosi iz izvora </w:t>
      </w:r>
      <w:r w:rsidR="0076161C">
        <w:rPr>
          <w:lang w:val="hr-HR"/>
        </w:rPr>
        <w:t>5.1.</w:t>
      </w:r>
      <w:r w:rsidR="00033339">
        <w:rPr>
          <w:lang w:val="hr-HR"/>
        </w:rPr>
        <w:t xml:space="preserve"> i 5.2.</w:t>
      </w:r>
      <w:r w:rsidR="0076161C">
        <w:rPr>
          <w:lang w:val="hr-HR"/>
        </w:rPr>
        <w:t xml:space="preserve"> </w:t>
      </w:r>
      <w:r>
        <w:rPr>
          <w:lang w:val="hr-HR"/>
        </w:rPr>
        <w:t>najvećim dijelom se odnose na projektno financiranje</w:t>
      </w:r>
      <w:r w:rsidR="007106AA">
        <w:rPr>
          <w:lang w:val="hr-HR"/>
        </w:rPr>
        <w:t xml:space="preserve">, te </w:t>
      </w:r>
      <w:r w:rsidR="0052472E">
        <w:rPr>
          <w:lang w:val="hr-HR"/>
        </w:rPr>
        <w:t>čine</w:t>
      </w:r>
      <w:r w:rsidR="007106AA">
        <w:rPr>
          <w:lang w:val="hr-HR"/>
        </w:rPr>
        <w:t xml:space="preserve"> </w:t>
      </w:r>
      <w:r w:rsidR="002B0887">
        <w:rPr>
          <w:lang w:val="hr-HR"/>
        </w:rPr>
        <w:t>21,</w:t>
      </w:r>
      <w:r w:rsidR="00A02F46">
        <w:rPr>
          <w:lang w:val="hr-HR"/>
        </w:rPr>
        <w:t>65</w:t>
      </w:r>
      <w:r w:rsidR="002B0887">
        <w:rPr>
          <w:lang w:val="hr-HR"/>
        </w:rPr>
        <w:t xml:space="preserve"> % svih rashoda.</w:t>
      </w:r>
    </w:p>
    <w:p w14:paraId="653E9A97" w14:textId="6A8C05A9" w:rsidR="00B14784" w:rsidRDefault="00B14784" w:rsidP="00BA6DA0">
      <w:pPr>
        <w:jc w:val="both"/>
        <w:rPr>
          <w:lang w:val="hr-HR"/>
        </w:rPr>
      </w:pPr>
      <w:r>
        <w:rPr>
          <w:lang w:val="hr-HR"/>
        </w:rPr>
        <w:t xml:space="preserve">Rashodi financirani iz </w:t>
      </w:r>
      <w:r w:rsidR="00800D71">
        <w:rPr>
          <w:lang w:val="hr-HR"/>
        </w:rPr>
        <w:t>prihoda po posebnim propisima</w:t>
      </w:r>
      <w:r w:rsidR="00570330">
        <w:rPr>
          <w:lang w:val="hr-HR"/>
        </w:rPr>
        <w:t xml:space="preserve"> (4.3.)</w:t>
      </w:r>
      <w:r w:rsidR="00800D71">
        <w:rPr>
          <w:lang w:val="hr-HR"/>
        </w:rPr>
        <w:t xml:space="preserve"> iznose</w:t>
      </w:r>
      <w:r w:rsidR="0087061A">
        <w:rPr>
          <w:lang w:val="hr-HR"/>
        </w:rPr>
        <w:t xml:space="preserve"> 2.784.523,10 €</w:t>
      </w:r>
      <w:r w:rsidR="0052472E">
        <w:rPr>
          <w:lang w:val="hr-HR"/>
        </w:rPr>
        <w:t>,</w:t>
      </w:r>
      <w:r w:rsidR="0087061A">
        <w:rPr>
          <w:lang w:val="hr-HR"/>
        </w:rPr>
        <w:t xml:space="preserve"> odnosno</w:t>
      </w:r>
      <w:r w:rsidR="00800D71">
        <w:rPr>
          <w:lang w:val="hr-HR"/>
        </w:rPr>
        <w:t xml:space="preserve"> 11,</w:t>
      </w:r>
      <w:r w:rsidR="002F4135">
        <w:rPr>
          <w:lang w:val="hr-HR"/>
        </w:rPr>
        <w:t>58</w:t>
      </w:r>
      <w:r w:rsidR="00800D71">
        <w:rPr>
          <w:lang w:val="hr-HR"/>
        </w:rPr>
        <w:t xml:space="preserve"> % ukupnih rashoda</w:t>
      </w:r>
      <w:r w:rsidR="00570330">
        <w:rPr>
          <w:lang w:val="hr-HR"/>
        </w:rPr>
        <w:t xml:space="preserve">. Rashodi iz izvora 4.3. </w:t>
      </w:r>
      <w:r w:rsidR="00E237D4">
        <w:rPr>
          <w:lang w:val="hr-HR"/>
        </w:rPr>
        <w:t xml:space="preserve">značajno su </w:t>
      </w:r>
      <w:r w:rsidR="00570330">
        <w:rPr>
          <w:lang w:val="hr-HR"/>
        </w:rPr>
        <w:t xml:space="preserve">veći od </w:t>
      </w:r>
      <w:r w:rsidR="0052472E">
        <w:rPr>
          <w:lang w:val="hr-HR"/>
        </w:rPr>
        <w:t xml:space="preserve">ostvarenih </w:t>
      </w:r>
      <w:r w:rsidR="00E237D4">
        <w:rPr>
          <w:lang w:val="hr-HR"/>
        </w:rPr>
        <w:t xml:space="preserve">prihoda iz istog izvora </w:t>
      </w:r>
      <w:r w:rsidR="0052472E">
        <w:rPr>
          <w:lang w:val="hr-HR"/>
        </w:rPr>
        <w:t>tijekom 2024.</w:t>
      </w:r>
      <w:r w:rsidR="002F4135">
        <w:rPr>
          <w:lang w:val="hr-HR"/>
        </w:rPr>
        <w:t xml:space="preserve"> </w:t>
      </w:r>
      <w:r w:rsidR="0052472E">
        <w:rPr>
          <w:lang w:val="hr-HR"/>
        </w:rPr>
        <w:t xml:space="preserve">godine. Razlog tome je </w:t>
      </w:r>
      <w:r w:rsidR="00E237D4">
        <w:rPr>
          <w:lang w:val="hr-HR"/>
        </w:rPr>
        <w:t>što s</w:t>
      </w:r>
      <w:r w:rsidR="0052472E">
        <w:rPr>
          <w:lang w:val="hr-HR"/>
        </w:rPr>
        <w:t>u, iz prenesenih viškova prihoda iz prethodnih godina</w:t>
      </w:r>
      <w:r w:rsidR="00E237D4">
        <w:rPr>
          <w:lang w:val="hr-HR"/>
        </w:rPr>
        <w:t xml:space="preserve"> ovog izvora</w:t>
      </w:r>
      <w:r w:rsidR="0052472E">
        <w:rPr>
          <w:lang w:val="hr-HR"/>
        </w:rPr>
        <w:t>,</w:t>
      </w:r>
      <w:r w:rsidR="00E237D4">
        <w:rPr>
          <w:lang w:val="hr-HR"/>
        </w:rPr>
        <w:t xml:space="preserve"> financira</w:t>
      </w:r>
      <w:r w:rsidR="0052472E">
        <w:rPr>
          <w:lang w:val="hr-HR"/>
        </w:rPr>
        <w:t>na</w:t>
      </w:r>
      <w:r w:rsidR="00E237D4">
        <w:rPr>
          <w:lang w:val="hr-HR"/>
        </w:rPr>
        <w:t xml:space="preserve"> </w:t>
      </w:r>
      <w:r w:rsidR="00C33400">
        <w:rPr>
          <w:lang w:val="hr-HR"/>
        </w:rPr>
        <w:t>ulaganj</w:t>
      </w:r>
      <w:r w:rsidR="0052472E">
        <w:rPr>
          <w:lang w:val="hr-HR"/>
        </w:rPr>
        <w:t>a</w:t>
      </w:r>
      <w:r w:rsidR="00C33400">
        <w:rPr>
          <w:lang w:val="hr-HR"/>
        </w:rPr>
        <w:t xml:space="preserve"> u dugotrajnu imovinu na Kampusu</w:t>
      </w:r>
      <w:r w:rsidR="0052472E">
        <w:rPr>
          <w:lang w:val="hr-HR"/>
        </w:rPr>
        <w:t>.</w:t>
      </w:r>
    </w:p>
    <w:p w14:paraId="6D23C66F" w14:textId="77777777" w:rsidR="0052472E" w:rsidRDefault="0052472E" w:rsidP="00BA6DA0">
      <w:pPr>
        <w:jc w:val="both"/>
        <w:rPr>
          <w:lang w:val="hr-HR"/>
        </w:rPr>
      </w:pPr>
    </w:p>
    <w:p w14:paraId="4DC52140" w14:textId="20658101" w:rsidR="00C33400" w:rsidRDefault="009E060A" w:rsidP="00BA6DA0">
      <w:pPr>
        <w:jc w:val="both"/>
        <w:rPr>
          <w:lang w:val="hr-HR"/>
        </w:rPr>
      </w:pPr>
      <w:r>
        <w:rPr>
          <w:lang w:val="hr-HR"/>
        </w:rPr>
        <w:t xml:space="preserve">Rashodi svih ostalih izvora (3.1., </w:t>
      </w:r>
      <w:r w:rsidR="002B7270">
        <w:rPr>
          <w:lang w:val="hr-HR"/>
        </w:rPr>
        <w:t>5.8. i 6.1.)</w:t>
      </w:r>
      <w:r>
        <w:rPr>
          <w:lang w:val="hr-HR"/>
        </w:rPr>
        <w:t xml:space="preserve"> odnose se</w:t>
      </w:r>
      <w:r w:rsidR="0052472E">
        <w:rPr>
          <w:lang w:val="hr-HR"/>
        </w:rPr>
        <w:t xml:space="preserve"> tek </w:t>
      </w:r>
      <w:r>
        <w:rPr>
          <w:lang w:val="hr-HR"/>
        </w:rPr>
        <w:t>na 2,</w:t>
      </w:r>
      <w:r w:rsidR="005B5400">
        <w:rPr>
          <w:lang w:val="hr-HR"/>
        </w:rPr>
        <w:t>50</w:t>
      </w:r>
      <w:r>
        <w:rPr>
          <w:lang w:val="hr-HR"/>
        </w:rPr>
        <w:t xml:space="preserve"> % ukupnih rashoda</w:t>
      </w:r>
      <w:r w:rsidR="0052472E">
        <w:rPr>
          <w:lang w:val="hr-HR"/>
        </w:rPr>
        <w:t xml:space="preserve"> Sveučilišta.</w:t>
      </w:r>
    </w:p>
    <w:p w14:paraId="4AC14E3E" w14:textId="77777777" w:rsidR="00784EA6" w:rsidRDefault="00784EA6" w:rsidP="00BA6DA0">
      <w:pPr>
        <w:jc w:val="both"/>
        <w:rPr>
          <w:lang w:val="hr-HR"/>
        </w:rPr>
      </w:pPr>
    </w:p>
    <w:p w14:paraId="6532A4BF" w14:textId="40CD8005" w:rsidR="00890BA8" w:rsidRDefault="00890BA8" w:rsidP="00BA6DA0">
      <w:pPr>
        <w:jc w:val="both"/>
        <w:rPr>
          <w:lang w:val="hr-HR"/>
        </w:rPr>
      </w:pPr>
    </w:p>
    <w:p w14:paraId="02FE55E8" w14:textId="77777777" w:rsidR="009364C6" w:rsidRPr="00890BA8" w:rsidRDefault="009364C6" w:rsidP="00BA6DA0">
      <w:pPr>
        <w:jc w:val="both"/>
        <w:rPr>
          <w:lang w:val="hr-HR"/>
        </w:rPr>
      </w:pPr>
    </w:p>
    <w:p w14:paraId="62E7202E" w14:textId="77777777" w:rsidR="00890BA8" w:rsidRPr="00890BA8" w:rsidRDefault="00890BA8" w:rsidP="00BA6DA0">
      <w:pPr>
        <w:jc w:val="both"/>
        <w:rPr>
          <w:b/>
          <w:bCs/>
          <w:u w:val="single"/>
          <w:lang w:val="hr-HR"/>
        </w:rPr>
      </w:pPr>
      <w:r w:rsidRPr="00890BA8">
        <w:rPr>
          <w:b/>
          <w:bCs/>
          <w:u w:val="single"/>
          <w:lang w:val="hr-HR"/>
        </w:rPr>
        <w:t>IZVJEŠTAJ O IZVRŠENIM RASHODIMA PREMA FUNKCIJSKOJ KLASIFIKACIJI</w:t>
      </w:r>
    </w:p>
    <w:p w14:paraId="57CA7B06" w14:textId="77777777" w:rsidR="00890BA8" w:rsidRPr="00890BA8" w:rsidRDefault="00890BA8" w:rsidP="00BA6DA0">
      <w:pPr>
        <w:jc w:val="both"/>
        <w:rPr>
          <w:b/>
          <w:bCs/>
          <w:u w:val="single"/>
          <w:lang w:val="hr-HR"/>
        </w:rPr>
      </w:pPr>
    </w:p>
    <w:p w14:paraId="0DDE67C1" w14:textId="77777777" w:rsidR="00890BA8" w:rsidRPr="00890BA8" w:rsidRDefault="00890BA8" w:rsidP="00BA6DA0">
      <w:pPr>
        <w:jc w:val="both"/>
        <w:rPr>
          <w:lang w:val="hr-HR"/>
        </w:rPr>
      </w:pPr>
      <w:r w:rsidRPr="00890BA8">
        <w:rPr>
          <w:lang w:val="hr-HR"/>
        </w:rPr>
        <w:t xml:space="preserve">Svi rashodi Sveučilišta u Rijeci su planirani u okviru rashoda za visoko obrazovanje (klasifikacijska oznaka 0940). </w:t>
      </w:r>
    </w:p>
    <w:p w14:paraId="283F1109" w14:textId="77777777" w:rsidR="00890BA8" w:rsidRDefault="00890BA8" w:rsidP="00BA6DA0">
      <w:pPr>
        <w:jc w:val="both"/>
        <w:rPr>
          <w:lang w:val="hr-HR"/>
        </w:rPr>
      </w:pPr>
    </w:p>
    <w:p w14:paraId="0E87130B" w14:textId="77777777" w:rsidR="009364C6" w:rsidRDefault="009364C6" w:rsidP="00BA6DA0">
      <w:pPr>
        <w:jc w:val="both"/>
        <w:rPr>
          <w:lang w:val="hr-HR"/>
        </w:rPr>
      </w:pPr>
    </w:p>
    <w:p w14:paraId="025DFA6D" w14:textId="77777777" w:rsidR="00A02F46" w:rsidRPr="00890BA8" w:rsidRDefault="00A02F46" w:rsidP="00BA6DA0">
      <w:pPr>
        <w:jc w:val="both"/>
        <w:rPr>
          <w:lang w:val="hr-HR"/>
        </w:rPr>
      </w:pPr>
    </w:p>
    <w:p w14:paraId="167D4968" w14:textId="770952B4" w:rsidR="00890BA8" w:rsidRPr="00890BA8" w:rsidRDefault="00890BA8" w:rsidP="00BA6DA0">
      <w:pPr>
        <w:jc w:val="both"/>
        <w:rPr>
          <w:b/>
          <w:bCs/>
          <w:u w:val="single"/>
          <w:lang w:val="hr-HR"/>
        </w:rPr>
      </w:pPr>
      <w:r w:rsidRPr="00890BA8">
        <w:rPr>
          <w:b/>
          <w:bCs/>
          <w:u w:val="single"/>
          <w:lang w:val="hr-HR"/>
        </w:rPr>
        <w:t>IZVJEŠTAJ O</w:t>
      </w:r>
      <w:r w:rsidR="00BE0E79">
        <w:rPr>
          <w:b/>
          <w:bCs/>
          <w:u w:val="single"/>
          <w:lang w:val="hr-HR"/>
        </w:rPr>
        <w:t xml:space="preserve"> IZVRŠENJU</w:t>
      </w:r>
      <w:r w:rsidRPr="00890BA8">
        <w:rPr>
          <w:b/>
          <w:bCs/>
          <w:u w:val="single"/>
          <w:lang w:val="hr-HR"/>
        </w:rPr>
        <w:t xml:space="preserve"> RAČUN</w:t>
      </w:r>
      <w:r w:rsidR="00BE0E79">
        <w:rPr>
          <w:b/>
          <w:bCs/>
          <w:u w:val="single"/>
          <w:lang w:val="hr-HR"/>
        </w:rPr>
        <w:t>A</w:t>
      </w:r>
      <w:r w:rsidRPr="00890BA8">
        <w:rPr>
          <w:b/>
          <w:bCs/>
          <w:u w:val="single"/>
          <w:lang w:val="hr-HR"/>
        </w:rPr>
        <w:t xml:space="preserve"> FINANCIRANJA PREMA EKONOMSKOJ KLASIFIKACIJI I IZVJEŠTAJ O </w:t>
      </w:r>
      <w:r w:rsidR="00BE0E79">
        <w:rPr>
          <w:b/>
          <w:bCs/>
          <w:u w:val="single"/>
          <w:lang w:val="hr-HR"/>
        </w:rPr>
        <w:t xml:space="preserve">IZVRŠENJU </w:t>
      </w:r>
      <w:r w:rsidRPr="00890BA8">
        <w:rPr>
          <w:b/>
          <w:bCs/>
          <w:u w:val="single"/>
          <w:lang w:val="hr-HR"/>
        </w:rPr>
        <w:t>RAČUN</w:t>
      </w:r>
      <w:r w:rsidR="00BE0E79">
        <w:rPr>
          <w:b/>
          <w:bCs/>
          <w:u w:val="single"/>
          <w:lang w:val="hr-HR"/>
        </w:rPr>
        <w:t>A</w:t>
      </w:r>
      <w:r w:rsidRPr="00890BA8">
        <w:rPr>
          <w:b/>
          <w:bCs/>
          <w:u w:val="single"/>
          <w:lang w:val="hr-HR"/>
        </w:rPr>
        <w:t xml:space="preserve"> FINANCIRANJA PREMA IZVORIMA FINANCIRANJA</w:t>
      </w:r>
    </w:p>
    <w:p w14:paraId="5F75EB07" w14:textId="77777777" w:rsidR="00890BA8" w:rsidRPr="00890BA8" w:rsidRDefault="00890BA8" w:rsidP="00BA6DA0">
      <w:pPr>
        <w:jc w:val="both"/>
        <w:rPr>
          <w:b/>
          <w:bCs/>
          <w:u w:val="single"/>
          <w:lang w:val="hr-HR"/>
        </w:rPr>
      </w:pPr>
    </w:p>
    <w:p w14:paraId="2A5C797D" w14:textId="7A132377" w:rsidR="00BD53D1" w:rsidRDefault="001363F1" w:rsidP="00BA6DA0">
      <w:pPr>
        <w:jc w:val="both"/>
        <w:rPr>
          <w:lang w:val="hr-HR"/>
        </w:rPr>
      </w:pPr>
      <w:r>
        <w:rPr>
          <w:lang w:val="hr-HR"/>
        </w:rPr>
        <w:t>Kod</w:t>
      </w:r>
      <w:r w:rsidR="00890BA8" w:rsidRPr="00890BA8">
        <w:rPr>
          <w:lang w:val="hr-HR"/>
        </w:rPr>
        <w:t xml:space="preserve"> </w:t>
      </w:r>
      <w:r w:rsidR="0052472E">
        <w:rPr>
          <w:lang w:val="hr-HR"/>
        </w:rPr>
        <w:t>Ra</w:t>
      </w:r>
      <w:r w:rsidR="00890BA8" w:rsidRPr="00890BA8">
        <w:rPr>
          <w:lang w:val="hr-HR"/>
        </w:rPr>
        <w:t>čun</w:t>
      </w:r>
      <w:r>
        <w:rPr>
          <w:lang w:val="hr-HR"/>
        </w:rPr>
        <w:t>a</w:t>
      </w:r>
      <w:r w:rsidR="00890BA8" w:rsidRPr="00890BA8">
        <w:rPr>
          <w:lang w:val="hr-HR"/>
        </w:rPr>
        <w:t xml:space="preserve"> financiranja</w:t>
      </w:r>
      <w:r w:rsidR="0011329E">
        <w:rPr>
          <w:lang w:val="hr-HR"/>
        </w:rPr>
        <w:t xml:space="preserve"> izvršenje</w:t>
      </w:r>
      <w:r>
        <w:rPr>
          <w:lang w:val="hr-HR"/>
        </w:rPr>
        <w:t xml:space="preserve"> </w:t>
      </w:r>
      <w:r w:rsidR="00270A6D">
        <w:rPr>
          <w:lang w:val="hr-HR"/>
        </w:rPr>
        <w:t>izdataka</w:t>
      </w:r>
      <w:r w:rsidR="0011329E">
        <w:rPr>
          <w:lang w:val="hr-HR"/>
        </w:rPr>
        <w:t xml:space="preserve"> </w:t>
      </w:r>
      <w:r>
        <w:rPr>
          <w:lang w:val="hr-HR"/>
        </w:rPr>
        <w:t>iznosilo</w:t>
      </w:r>
      <w:r w:rsidR="0011329E">
        <w:rPr>
          <w:lang w:val="hr-HR"/>
        </w:rPr>
        <w:t xml:space="preserve"> 88.481,87 €. Iznos se odnosi na povrat kredita </w:t>
      </w:r>
      <w:r w:rsidR="0052472E">
        <w:rPr>
          <w:lang w:val="hr-HR"/>
        </w:rPr>
        <w:t xml:space="preserve">banke </w:t>
      </w:r>
      <w:r w:rsidR="0011329E">
        <w:rPr>
          <w:lang w:val="hr-HR"/>
        </w:rPr>
        <w:t xml:space="preserve">iz 2013. godine u iznosu od 88.481,87 € koji je financiran iz izvora 5.2. </w:t>
      </w:r>
    </w:p>
    <w:p w14:paraId="6F2AD1CB" w14:textId="2F5DCF16" w:rsidR="001363F1" w:rsidRDefault="00651AAA" w:rsidP="00BA6DA0">
      <w:pPr>
        <w:jc w:val="both"/>
        <w:rPr>
          <w:lang w:val="hr-HR"/>
        </w:rPr>
      </w:pPr>
      <w:r>
        <w:rPr>
          <w:lang w:val="hr-HR"/>
        </w:rPr>
        <w:t xml:space="preserve">Kod primitaka izvršenje je iznosilo 3.000.000,00 €, a odnosi se na povrat glavnice kratkoročnog </w:t>
      </w:r>
      <w:r w:rsidR="0052472E">
        <w:rPr>
          <w:lang w:val="hr-HR"/>
        </w:rPr>
        <w:t>oročenog depozita čije oročavanje je izvršeno u 2023. godini, a povrat je izvršen u 2024. godini.</w:t>
      </w:r>
      <w:r w:rsidR="003C3A41">
        <w:rPr>
          <w:lang w:val="hr-HR"/>
        </w:rPr>
        <w:t xml:space="preserve"> Izvori </w:t>
      </w:r>
      <w:r w:rsidR="0052472E">
        <w:rPr>
          <w:lang w:val="hr-HR"/>
        </w:rPr>
        <w:t xml:space="preserve">oročenih sredstava bili </w:t>
      </w:r>
      <w:r w:rsidR="003C3A41">
        <w:rPr>
          <w:lang w:val="hr-HR"/>
        </w:rPr>
        <w:t>su</w:t>
      </w:r>
      <w:r w:rsidR="0052472E">
        <w:rPr>
          <w:lang w:val="hr-HR"/>
        </w:rPr>
        <w:t>: izvor</w:t>
      </w:r>
      <w:r w:rsidR="003C3A41">
        <w:rPr>
          <w:lang w:val="hr-HR"/>
        </w:rPr>
        <w:t xml:space="preserve"> 1.1. </w:t>
      </w:r>
      <w:r w:rsidR="003E450F">
        <w:rPr>
          <w:lang w:val="hr-HR"/>
        </w:rPr>
        <w:t>u iznosu od</w:t>
      </w:r>
      <w:r w:rsidR="003C3A41">
        <w:rPr>
          <w:lang w:val="hr-HR"/>
        </w:rPr>
        <w:t xml:space="preserve"> 295.073,95 €,</w:t>
      </w:r>
      <w:r w:rsidR="0052472E">
        <w:rPr>
          <w:lang w:val="hr-HR"/>
        </w:rPr>
        <w:t xml:space="preserve"> izvor</w:t>
      </w:r>
      <w:r w:rsidR="003C3A41">
        <w:rPr>
          <w:lang w:val="hr-HR"/>
        </w:rPr>
        <w:t xml:space="preserve"> </w:t>
      </w:r>
      <w:r w:rsidR="00A342C2">
        <w:rPr>
          <w:lang w:val="hr-HR"/>
        </w:rPr>
        <w:t xml:space="preserve">4.3. </w:t>
      </w:r>
      <w:r w:rsidR="003E450F">
        <w:rPr>
          <w:lang w:val="hr-HR"/>
        </w:rPr>
        <w:t>u iznosu od</w:t>
      </w:r>
      <w:r w:rsidR="00A342C2">
        <w:rPr>
          <w:lang w:val="hr-HR"/>
        </w:rPr>
        <w:t xml:space="preserve"> 2.447.998,87 € i </w:t>
      </w:r>
      <w:r w:rsidR="0052472E">
        <w:rPr>
          <w:lang w:val="hr-HR"/>
        </w:rPr>
        <w:t xml:space="preserve">izvor </w:t>
      </w:r>
      <w:r w:rsidR="00A342C2">
        <w:rPr>
          <w:lang w:val="hr-HR"/>
        </w:rPr>
        <w:t xml:space="preserve">5.2. </w:t>
      </w:r>
      <w:r w:rsidR="003E450F">
        <w:rPr>
          <w:lang w:val="hr-HR"/>
        </w:rPr>
        <w:t>u iznosu od</w:t>
      </w:r>
      <w:r w:rsidR="00A342C2">
        <w:rPr>
          <w:lang w:val="hr-HR"/>
        </w:rPr>
        <w:t xml:space="preserve"> 256.927,18 €.</w:t>
      </w:r>
    </w:p>
    <w:p w14:paraId="101B39F0" w14:textId="77777777" w:rsidR="00730A04" w:rsidRDefault="00730A04" w:rsidP="00BA6DA0">
      <w:pPr>
        <w:jc w:val="both"/>
        <w:rPr>
          <w:lang w:val="hr-HR"/>
        </w:rPr>
      </w:pPr>
    </w:p>
    <w:p w14:paraId="7BDDBEE8" w14:textId="77777777" w:rsidR="00730A04" w:rsidRDefault="00730A04" w:rsidP="00BA6DA0">
      <w:pPr>
        <w:jc w:val="both"/>
        <w:rPr>
          <w:b/>
          <w:bCs/>
          <w:u w:val="single"/>
          <w:lang w:val="hr-HR"/>
        </w:rPr>
      </w:pPr>
    </w:p>
    <w:p w14:paraId="62158BCB" w14:textId="77777777" w:rsidR="009364C6" w:rsidRPr="00731DD0" w:rsidRDefault="009364C6" w:rsidP="00BA6DA0">
      <w:pPr>
        <w:jc w:val="both"/>
        <w:rPr>
          <w:b/>
          <w:bCs/>
          <w:u w:val="single"/>
          <w:lang w:val="hr-HR"/>
        </w:rPr>
      </w:pPr>
    </w:p>
    <w:p w14:paraId="4B874211" w14:textId="3D4F54C4" w:rsidR="00730A04" w:rsidRPr="00DD386C" w:rsidRDefault="00730A04" w:rsidP="00BA6DA0">
      <w:pPr>
        <w:jc w:val="both"/>
        <w:rPr>
          <w:b/>
          <w:bCs/>
          <w:u w:val="single"/>
          <w:lang w:val="hr-HR"/>
        </w:rPr>
      </w:pPr>
      <w:r w:rsidRPr="00DD386C">
        <w:rPr>
          <w:b/>
          <w:bCs/>
          <w:u w:val="single"/>
          <w:lang w:val="hr-HR"/>
        </w:rPr>
        <w:t xml:space="preserve">IZVJEŠTAJ O </w:t>
      </w:r>
      <w:r w:rsidR="00731DD0" w:rsidRPr="00DD386C">
        <w:rPr>
          <w:b/>
          <w:bCs/>
          <w:u w:val="single"/>
          <w:lang w:val="hr-HR"/>
        </w:rPr>
        <w:t>PRIJENOSU SREDSTAVA IZ PRETHODNE GODINE I PRIJENOSU SREDSTAVA U SLJEDEĆU GODINU</w:t>
      </w:r>
    </w:p>
    <w:p w14:paraId="1B3422AF" w14:textId="77777777" w:rsidR="00731DD0" w:rsidRPr="00DD386C" w:rsidRDefault="00731DD0" w:rsidP="00BA6DA0">
      <w:pPr>
        <w:jc w:val="both"/>
        <w:rPr>
          <w:lang w:val="hr-HR"/>
        </w:rPr>
      </w:pPr>
    </w:p>
    <w:p w14:paraId="041BB2CE" w14:textId="77777777" w:rsidR="00CD0718" w:rsidRDefault="00B93F78" w:rsidP="00BA6DA0">
      <w:pPr>
        <w:jc w:val="both"/>
        <w:rPr>
          <w:lang w:val="hr-HR"/>
        </w:rPr>
      </w:pPr>
      <w:r w:rsidRPr="00DD386C">
        <w:rPr>
          <w:lang w:val="hr-HR"/>
        </w:rPr>
        <w:t>Iznos prenesenih sredstava iz 2023. godinu u 2024. godinu iznosi 7.055.908,90 €</w:t>
      </w:r>
      <w:r w:rsidR="00483A77" w:rsidRPr="00DD386C">
        <w:rPr>
          <w:lang w:val="hr-HR"/>
        </w:rPr>
        <w:t xml:space="preserve">, a prijenos iz 2024. u 2025. iznosi </w:t>
      </w:r>
      <w:r w:rsidR="007E5F3A" w:rsidRPr="00DD386C">
        <w:rPr>
          <w:lang w:val="hr-HR"/>
        </w:rPr>
        <w:t>7.983.956,24 €</w:t>
      </w:r>
      <w:r w:rsidR="0033277D" w:rsidRPr="00DD386C">
        <w:rPr>
          <w:lang w:val="hr-HR"/>
        </w:rPr>
        <w:t>.</w:t>
      </w:r>
      <w:r w:rsidR="005815E8">
        <w:rPr>
          <w:lang w:val="hr-HR"/>
        </w:rPr>
        <w:t xml:space="preserve"> </w:t>
      </w:r>
    </w:p>
    <w:p w14:paraId="74BB3ADB" w14:textId="77777777" w:rsidR="0041054B" w:rsidRDefault="0041054B" w:rsidP="00BA6DA0">
      <w:pPr>
        <w:jc w:val="both"/>
        <w:rPr>
          <w:lang w:val="hr-HR"/>
        </w:rPr>
      </w:pPr>
    </w:p>
    <w:p w14:paraId="4D2ADF58" w14:textId="71444F2D" w:rsidR="00B8331E" w:rsidRDefault="005815E8" w:rsidP="00BA6DA0">
      <w:pPr>
        <w:jc w:val="both"/>
        <w:rPr>
          <w:lang w:val="hr-HR"/>
        </w:rPr>
      </w:pPr>
      <w:r>
        <w:rPr>
          <w:lang w:val="hr-HR"/>
        </w:rPr>
        <w:t xml:space="preserve">Planirani i </w:t>
      </w:r>
      <w:r w:rsidR="00CA0003">
        <w:rPr>
          <w:lang w:val="hr-HR"/>
        </w:rPr>
        <w:t>izvršeni donos sredstava odnosi se na prihode po izvorima financiranja</w:t>
      </w:r>
      <w:r w:rsidR="006C7E55">
        <w:rPr>
          <w:lang w:val="hr-HR"/>
        </w:rPr>
        <w:t>:</w:t>
      </w:r>
    </w:p>
    <w:p w14:paraId="53053A95" w14:textId="77777777" w:rsidR="009F77E2" w:rsidRDefault="00D1369B" w:rsidP="00D1369B">
      <w:pPr>
        <w:pStyle w:val="Odlomakpopisa"/>
        <w:numPr>
          <w:ilvl w:val="0"/>
          <w:numId w:val="5"/>
        </w:numPr>
        <w:jc w:val="both"/>
        <w:rPr>
          <w:lang w:val="hr-HR"/>
        </w:rPr>
      </w:pPr>
      <w:r>
        <w:rPr>
          <w:lang w:val="hr-HR"/>
        </w:rPr>
        <w:lastRenderedPageBreak/>
        <w:t>Izvor 1.1. Opći prihodi i primici</w:t>
      </w:r>
      <w:r w:rsidR="00CD0718">
        <w:rPr>
          <w:lang w:val="hr-HR"/>
        </w:rPr>
        <w:t xml:space="preserve"> – sredstva aktivnosti A622122 koja nisu utrošena </w:t>
      </w:r>
      <w:r w:rsidR="009F77E2">
        <w:rPr>
          <w:lang w:val="hr-HR"/>
        </w:rPr>
        <w:t>zbog dinamike uplata od strane MZOM-a</w:t>
      </w:r>
    </w:p>
    <w:p w14:paraId="35A7F2B2" w14:textId="6F812B71" w:rsidR="00EE1124" w:rsidRDefault="00D94284" w:rsidP="00D1369B">
      <w:pPr>
        <w:pStyle w:val="Odlomakpopisa"/>
        <w:numPr>
          <w:ilvl w:val="0"/>
          <w:numId w:val="5"/>
        </w:numPr>
        <w:jc w:val="both"/>
        <w:rPr>
          <w:lang w:val="hr-HR"/>
        </w:rPr>
      </w:pPr>
      <w:r>
        <w:rPr>
          <w:lang w:val="hr-HR"/>
        </w:rPr>
        <w:t xml:space="preserve">Izvor 3.1. Vlastiti prihodi – </w:t>
      </w:r>
      <w:r w:rsidR="000F3676">
        <w:rPr>
          <w:lang w:val="hr-HR"/>
        </w:rPr>
        <w:t>sredstva</w:t>
      </w:r>
      <w:r>
        <w:rPr>
          <w:lang w:val="hr-HR"/>
        </w:rPr>
        <w:t xml:space="preserve"> od </w:t>
      </w:r>
      <w:r w:rsidR="00C72D8E">
        <w:rPr>
          <w:lang w:val="hr-HR"/>
        </w:rPr>
        <w:t>vlastite djelatnosti raspoloživi u narednom razdoblju</w:t>
      </w:r>
      <w:r w:rsidR="00CD0718">
        <w:rPr>
          <w:lang w:val="hr-HR"/>
        </w:rPr>
        <w:t xml:space="preserve"> </w:t>
      </w:r>
    </w:p>
    <w:p w14:paraId="6EAC9BB3" w14:textId="026F9706" w:rsidR="00C72D8E" w:rsidRDefault="00C72D8E" w:rsidP="00D1369B">
      <w:pPr>
        <w:pStyle w:val="Odlomakpopisa"/>
        <w:numPr>
          <w:ilvl w:val="0"/>
          <w:numId w:val="5"/>
        </w:numPr>
        <w:jc w:val="both"/>
        <w:rPr>
          <w:lang w:val="hr-HR"/>
        </w:rPr>
      </w:pPr>
      <w:r>
        <w:rPr>
          <w:lang w:val="hr-HR"/>
        </w:rPr>
        <w:t xml:space="preserve">Izvor 4.3. Prihodi </w:t>
      </w:r>
      <w:r w:rsidR="00FC2039">
        <w:rPr>
          <w:lang w:val="hr-HR"/>
        </w:rPr>
        <w:t xml:space="preserve">za </w:t>
      </w:r>
      <w:r>
        <w:rPr>
          <w:lang w:val="hr-HR"/>
        </w:rPr>
        <w:t xml:space="preserve"> posebn</w:t>
      </w:r>
      <w:r w:rsidR="00805B35">
        <w:rPr>
          <w:lang w:val="hr-HR"/>
        </w:rPr>
        <w:t>e</w:t>
      </w:r>
      <w:r>
        <w:rPr>
          <w:lang w:val="hr-HR"/>
        </w:rPr>
        <w:t xml:space="preserve"> </w:t>
      </w:r>
      <w:r w:rsidR="00805B35">
        <w:rPr>
          <w:lang w:val="hr-HR"/>
        </w:rPr>
        <w:t xml:space="preserve">namjene – </w:t>
      </w:r>
      <w:r w:rsidR="00881EBA">
        <w:rPr>
          <w:lang w:val="hr-HR"/>
        </w:rPr>
        <w:t>sredstva</w:t>
      </w:r>
      <w:r w:rsidR="00805B35">
        <w:rPr>
          <w:lang w:val="hr-HR"/>
        </w:rPr>
        <w:t xml:space="preserve"> od školarina studenata svih razi</w:t>
      </w:r>
      <w:r w:rsidR="005B144D">
        <w:rPr>
          <w:lang w:val="hr-HR"/>
        </w:rPr>
        <w:t>na obrazovanja te prihodi od sredstava upisnina.</w:t>
      </w:r>
    </w:p>
    <w:p w14:paraId="0030A058" w14:textId="14543CA8" w:rsidR="005B144D" w:rsidRDefault="005B144D" w:rsidP="00D1369B">
      <w:pPr>
        <w:pStyle w:val="Odlomakpopisa"/>
        <w:numPr>
          <w:ilvl w:val="0"/>
          <w:numId w:val="5"/>
        </w:numPr>
        <w:jc w:val="both"/>
        <w:rPr>
          <w:lang w:val="hr-HR"/>
        </w:rPr>
      </w:pPr>
      <w:r>
        <w:rPr>
          <w:lang w:val="hr-HR"/>
        </w:rPr>
        <w:t xml:space="preserve">Izvor </w:t>
      </w:r>
      <w:r w:rsidR="004D4BEF">
        <w:rPr>
          <w:lang w:val="hr-HR"/>
        </w:rPr>
        <w:t xml:space="preserve">5.1. – Pomoći EU – sredstva EU projekata </w:t>
      </w:r>
      <w:r w:rsidR="00CD4069">
        <w:rPr>
          <w:lang w:val="hr-HR"/>
        </w:rPr>
        <w:t>uplaćena u prošloj godini</w:t>
      </w:r>
      <w:r w:rsidR="008A21E7">
        <w:rPr>
          <w:lang w:val="hr-HR"/>
        </w:rPr>
        <w:t xml:space="preserve"> zbog dinamike financiranja projekata</w:t>
      </w:r>
    </w:p>
    <w:p w14:paraId="291E8635" w14:textId="7A95C4CA" w:rsidR="00881EBA" w:rsidRDefault="008A21E7" w:rsidP="00881EBA">
      <w:pPr>
        <w:pStyle w:val="Odlomakpopisa"/>
        <w:numPr>
          <w:ilvl w:val="0"/>
          <w:numId w:val="5"/>
        </w:numPr>
        <w:rPr>
          <w:lang w:val="hr-HR"/>
        </w:rPr>
      </w:pPr>
      <w:r w:rsidRPr="00881EBA">
        <w:rPr>
          <w:lang w:val="hr-HR"/>
        </w:rPr>
        <w:t xml:space="preserve">Izvor 5.2. Ostale pomoći </w:t>
      </w:r>
      <w:r w:rsidR="000F3676" w:rsidRPr="00881EBA">
        <w:rPr>
          <w:lang w:val="hr-HR"/>
        </w:rPr>
        <w:t>–</w:t>
      </w:r>
      <w:r w:rsidRPr="00881EBA">
        <w:rPr>
          <w:lang w:val="hr-HR"/>
        </w:rPr>
        <w:t xml:space="preserve"> </w:t>
      </w:r>
      <w:r w:rsidR="000F3676" w:rsidRPr="00881EBA">
        <w:rPr>
          <w:lang w:val="hr-HR"/>
        </w:rPr>
        <w:t>sredstva</w:t>
      </w:r>
      <w:r w:rsidR="00881EBA" w:rsidRPr="00881EBA">
        <w:t xml:space="preserve"> </w:t>
      </w:r>
      <w:r w:rsidR="00881EBA" w:rsidRPr="00881EBA">
        <w:rPr>
          <w:lang w:val="hr-HR"/>
        </w:rPr>
        <w:t>EU projekata uplaćena u prošloj godini zbog dinamike financiranja projekata</w:t>
      </w:r>
      <w:r w:rsidR="00881EBA">
        <w:rPr>
          <w:lang w:val="hr-HR"/>
        </w:rPr>
        <w:t xml:space="preserve">, sredstva znanstvenih projekata uplaćena u prošloj godini zbog dinamike financiranja, sredstva </w:t>
      </w:r>
      <w:r w:rsidR="00931D51">
        <w:rPr>
          <w:lang w:val="hr-HR"/>
        </w:rPr>
        <w:t xml:space="preserve">ostalih </w:t>
      </w:r>
      <w:r w:rsidR="00881EBA">
        <w:rPr>
          <w:lang w:val="hr-HR"/>
        </w:rPr>
        <w:t xml:space="preserve">pomoći </w:t>
      </w:r>
      <w:r w:rsidR="00B128B3">
        <w:rPr>
          <w:lang w:val="hr-HR"/>
        </w:rPr>
        <w:t>uplaćena u prošloj godini namijenjena za financiranje tijekom 2024.</w:t>
      </w:r>
    </w:p>
    <w:p w14:paraId="7364413C" w14:textId="1D8563CE" w:rsidR="00B128B3" w:rsidRPr="00881EBA" w:rsidRDefault="00E32604" w:rsidP="00881EBA">
      <w:pPr>
        <w:pStyle w:val="Odlomakpopisa"/>
        <w:numPr>
          <w:ilvl w:val="0"/>
          <w:numId w:val="5"/>
        </w:numPr>
        <w:rPr>
          <w:lang w:val="hr-HR"/>
        </w:rPr>
      </w:pPr>
      <w:r>
        <w:rPr>
          <w:lang w:val="hr-HR"/>
        </w:rPr>
        <w:t xml:space="preserve">Izvor 6.1. Donacije – </w:t>
      </w:r>
      <w:r w:rsidR="00DF6528">
        <w:rPr>
          <w:lang w:val="hr-HR"/>
        </w:rPr>
        <w:t>sredstva</w:t>
      </w:r>
      <w:r>
        <w:rPr>
          <w:lang w:val="hr-HR"/>
        </w:rPr>
        <w:t xml:space="preserve"> projekata i donacija</w:t>
      </w:r>
      <w:r w:rsidR="00DF6528">
        <w:rPr>
          <w:lang w:val="hr-HR"/>
        </w:rPr>
        <w:t xml:space="preserve"> koja će utrošiti u sljedećem razdoblju</w:t>
      </w:r>
    </w:p>
    <w:p w14:paraId="039731A0" w14:textId="15F00632" w:rsidR="008A21E7" w:rsidRPr="00DD386C" w:rsidRDefault="00425D83" w:rsidP="00DD386C">
      <w:pPr>
        <w:ind w:left="360"/>
        <w:jc w:val="both"/>
        <w:rPr>
          <w:lang w:val="hr-HR"/>
        </w:rPr>
      </w:pPr>
      <w:r>
        <w:rPr>
          <w:lang w:val="hr-HR"/>
        </w:rPr>
        <w:t>Iz svih navedenih izvora planiran je i odnos u 2025. godinu</w:t>
      </w:r>
      <w:r w:rsidR="003F700A">
        <w:rPr>
          <w:lang w:val="hr-HR"/>
        </w:rPr>
        <w:t xml:space="preserve">. Uz navedene izvore u 2025. godinu planira se i odnos iz izvora 5.8.1. koji se odnosi na projekt financira iz NPOO programa.  </w:t>
      </w:r>
    </w:p>
    <w:p w14:paraId="2F02A0FE" w14:textId="77777777" w:rsidR="00CA7C74" w:rsidRPr="00DD386C" w:rsidRDefault="00CA7C74" w:rsidP="00BA6DA0">
      <w:pPr>
        <w:jc w:val="both"/>
        <w:rPr>
          <w:lang w:val="hr-HR"/>
        </w:rPr>
      </w:pPr>
    </w:p>
    <w:p w14:paraId="44566DE3" w14:textId="4EED44B6" w:rsidR="00CA7C74" w:rsidRPr="00DD386C" w:rsidRDefault="00CA7C74" w:rsidP="00BA6DA0">
      <w:pPr>
        <w:jc w:val="both"/>
        <w:rPr>
          <w:b/>
          <w:bCs/>
          <w:u w:val="single"/>
          <w:lang w:val="hr-HR"/>
        </w:rPr>
      </w:pPr>
      <w:r w:rsidRPr="00DD386C">
        <w:rPr>
          <w:b/>
          <w:bCs/>
          <w:u w:val="single"/>
          <w:lang w:val="hr-HR"/>
        </w:rPr>
        <w:t>STANJE NOVČANIH SREDSTAVA NA POČETKU I KRAJU IZVJEŠTAJNOG RAZDOBLJA</w:t>
      </w:r>
    </w:p>
    <w:p w14:paraId="6B4C31B3" w14:textId="77777777" w:rsidR="001363F1" w:rsidRPr="00DD386C" w:rsidRDefault="001363F1" w:rsidP="00BA6DA0">
      <w:pPr>
        <w:jc w:val="both"/>
        <w:rPr>
          <w:lang w:val="hr-HR"/>
        </w:rPr>
      </w:pPr>
    </w:p>
    <w:p w14:paraId="0CAB646A" w14:textId="79AFE42B" w:rsidR="0011329E" w:rsidRDefault="00CA7C74" w:rsidP="00BA6DA0">
      <w:pPr>
        <w:jc w:val="both"/>
        <w:rPr>
          <w:lang w:val="hr-HR"/>
        </w:rPr>
      </w:pPr>
      <w:r w:rsidRPr="00DD386C">
        <w:rPr>
          <w:lang w:val="hr-HR"/>
        </w:rPr>
        <w:t xml:space="preserve">Stanje novčanih sredstava na dan 1.1.2024. bilo je </w:t>
      </w:r>
      <w:r w:rsidR="003B5B76" w:rsidRPr="00DD386C">
        <w:rPr>
          <w:lang w:val="hr-HR"/>
        </w:rPr>
        <w:t>7.508.500,81 €, a na dan 31.12.2024. 8.359.571,81 €.</w:t>
      </w:r>
    </w:p>
    <w:p w14:paraId="4D683411" w14:textId="77777777" w:rsidR="0011329E" w:rsidRDefault="0011329E" w:rsidP="00BA6DA0">
      <w:pPr>
        <w:jc w:val="both"/>
        <w:rPr>
          <w:lang w:val="hr-HR"/>
        </w:rPr>
      </w:pPr>
    </w:p>
    <w:p w14:paraId="005FF4F0" w14:textId="77777777" w:rsidR="0092755C" w:rsidRDefault="0092755C" w:rsidP="0092755C">
      <w:pPr>
        <w:pStyle w:val="BodyA"/>
        <w:ind w:firstLine="241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REKTORICA</w:t>
      </w:r>
    </w:p>
    <w:p w14:paraId="7C445B19" w14:textId="77777777" w:rsidR="0092755C" w:rsidRDefault="0092755C" w:rsidP="0092755C">
      <w:pPr>
        <w:pStyle w:val="BodyA"/>
        <w:ind w:firstLine="241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Prof. dr. sc. Snježana 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Prijić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Samaržija</w:t>
      </w:r>
      <w:proofErr w:type="spellEnd"/>
    </w:p>
    <w:p w14:paraId="226D8D0C" w14:textId="77777777" w:rsidR="00890BA8" w:rsidRPr="00890BA8" w:rsidRDefault="00890BA8" w:rsidP="00BA6DA0">
      <w:pPr>
        <w:jc w:val="both"/>
        <w:rPr>
          <w:lang w:val="hr-HR"/>
        </w:rPr>
      </w:pPr>
    </w:p>
    <w:sectPr w:rsidR="00890BA8" w:rsidRPr="00890BA8" w:rsidSect="00653C48">
      <w:headerReference w:type="default" r:id="rId8"/>
      <w:footerReference w:type="default" r:id="rId9"/>
      <w:pgSz w:w="11900" w:h="16840"/>
      <w:pgMar w:top="2835" w:right="1701" w:bottom="1701" w:left="1418" w:header="1418" w:footer="102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64096" w14:textId="77777777" w:rsidR="007F3975" w:rsidRDefault="007F3975">
      <w:r>
        <w:separator/>
      </w:r>
    </w:p>
  </w:endnote>
  <w:endnote w:type="continuationSeparator" w:id="0">
    <w:p w14:paraId="4EB63D02" w14:textId="77777777" w:rsidR="007F3975" w:rsidRDefault="007F3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EE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C8D3A" w14:textId="50D9E74C" w:rsidR="0016188E" w:rsidRDefault="00F30B43" w:rsidP="004F3FFA">
    <w:pPr>
      <w:pStyle w:val="Podnoje"/>
    </w:pPr>
    <w:r>
      <w:rPr>
        <w:noProof/>
        <w:lang w:val="hr-HR" w:eastAsia="hr-HR"/>
      </w:rPr>
      <w:drawing>
        <wp:inline distT="0" distB="0" distL="0" distR="0" wp14:anchorId="528B32CA" wp14:editId="3FFA969F">
          <wp:extent cx="5508000" cy="251460"/>
          <wp:effectExtent l="0" t="0" r="381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" t="-438" r="-17" b="-13369"/>
                  <a:stretch/>
                </pic:blipFill>
                <pic:spPr bwMode="auto">
                  <a:xfrm>
                    <a:off x="0" y="0"/>
                    <a:ext cx="5563975" cy="254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C114C" w14:textId="77777777" w:rsidR="007F3975" w:rsidRDefault="007F3975">
      <w:r>
        <w:separator/>
      </w:r>
    </w:p>
  </w:footnote>
  <w:footnote w:type="continuationSeparator" w:id="0">
    <w:p w14:paraId="68B4F969" w14:textId="77777777" w:rsidR="007F3975" w:rsidRDefault="007F3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C985" w14:textId="0BFF3F0F" w:rsidR="006E2855" w:rsidRDefault="002B02AC" w:rsidP="009607EA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57A18DCF" wp14:editId="1B66E5C1">
          <wp:simplePos x="0" y="0"/>
          <wp:positionH relativeFrom="column">
            <wp:posOffset>5548496</wp:posOffset>
          </wp:positionH>
          <wp:positionV relativeFrom="paragraph">
            <wp:posOffset>-439580</wp:posOffset>
          </wp:positionV>
          <wp:extent cx="755015" cy="2010977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NIRI_YUFE_elementi_2020_FINAL-02.ep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r="-60"/>
                  <a:stretch/>
                </pic:blipFill>
                <pic:spPr bwMode="auto">
                  <a:xfrm>
                    <a:off x="0" y="0"/>
                    <a:ext cx="756901" cy="20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7642">
      <w:rPr>
        <w:noProof/>
      </w:rPr>
      <w:softHyphen/>
    </w:r>
    <w:r w:rsidR="000D7642">
      <w:rPr>
        <w:noProof/>
      </w:rPr>
      <w:softHyphen/>
    </w:r>
    <w:r w:rsidR="00A73B03">
      <w:rPr>
        <w:noProof/>
        <w:lang w:val="hr-HR" w:eastAsia="hr-HR"/>
      </w:rPr>
      <w:drawing>
        <wp:inline distT="0" distB="0" distL="0" distR="0" wp14:anchorId="5A22E429" wp14:editId="08415FE4">
          <wp:extent cx="3498083" cy="363600"/>
          <wp:effectExtent l="0" t="0" r="0" b="508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8083" cy="3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0D7B">
      <w:t xml:space="preserve">          </w:t>
    </w:r>
    <w:r w:rsidR="005F5F87">
      <w:t xml:space="preserve">                                         </w:t>
    </w:r>
    <w:r w:rsidR="00980D7B">
      <w:t xml:space="preserve">    </w:t>
    </w:r>
  </w:p>
  <w:p w14:paraId="03083785" w14:textId="51B083C4" w:rsidR="0016188E" w:rsidRDefault="00980D7B" w:rsidP="009607EA">
    <w:pPr>
      <w:pStyle w:val="Body"/>
    </w:pPr>
    <w: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11D1"/>
    <w:multiLevelType w:val="hybridMultilevel"/>
    <w:tmpl w:val="45506A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25546"/>
    <w:multiLevelType w:val="hybridMultilevel"/>
    <w:tmpl w:val="3280D78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C1E4A"/>
    <w:multiLevelType w:val="hybridMultilevel"/>
    <w:tmpl w:val="7310CE5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6542E"/>
    <w:multiLevelType w:val="hybridMultilevel"/>
    <w:tmpl w:val="C09001AC"/>
    <w:lvl w:ilvl="0" w:tplc="6136B476">
      <w:numFmt w:val="bullet"/>
      <w:lvlText w:val="-"/>
      <w:lvlJc w:val="left"/>
      <w:pPr>
        <w:ind w:left="720" w:hanging="360"/>
      </w:pPr>
      <w:rPr>
        <w:rFonts w:ascii="Source Sans Pro SemiBold" w:eastAsia="Helvetica" w:hAnsi="Source Sans Pro SemiBold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54C6B"/>
    <w:multiLevelType w:val="hybridMultilevel"/>
    <w:tmpl w:val="D99CED48"/>
    <w:lvl w:ilvl="0" w:tplc="6D48C750">
      <w:numFmt w:val="bullet"/>
      <w:lvlText w:val="-"/>
      <w:lvlJc w:val="left"/>
      <w:pPr>
        <w:ind w:left="720" w:hanging="360"/>
      </w:pPr>
      <w:rPr>
        <w:rFonts w:ascii="Source Sans Pro" w:eastAsia="Helvetica" w:hAnsi="Source Sans Pro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20241"/>
    <w:rsid w:val="00024312"/>
    <w:rsid w:val="00033339"/>
    <w:rsid w:val="00037708"/>
    <w:rsid w:val="00045C47"/>
    <w:rsid w:val="00060F23"/>
    <w:rsid w:val="000715E7"/>
    <w:rsid w:val="000A321E"/>
    <w:rsid w:val="000B0482"/>
    <w:rsid w:val="000D5769"/>
    <w:rsid w:val="000D7642"/>
    <w:rsid w:val="000E609F"/>
    <w:rsid w:val="000E6FD5"/>
    <w:rsid w:val="000F3676"/>
    <w:rsid w:val="0011329E"/>
    <w:rsid w:val="001363F1"/>
    <w:rsid w:val="0016188E"/>
    <w:rsid w:val="00180C59"/>
    <w:rsid w:val="001848CA"/>
    <w:rsid w:val="001A1AC8"/>
    <w:rsid w:val="001E2155"/>
    <w:rsid w:val="001E7C15"/>
    <w:rsid w:val="001F0CA5"/>
    <w:rsid w:val="00215A96"/>
    <w:rsid w:val="00215BF6"/>
    <w:rsid w:val="00247613"/>
    <w:rsid w:val="00257976"/>
    <w:rsid w:val="00270A6D"/>
    <w:rsid w:val="00280DB4"/>
    <w:rsid w:val="00281782"/>
    <w:rsid w:val="002B02AC"/>
    <w:rsid w:val="002B0887"/>
    <w:rsid w:val="002B290F"/>
    <w:rsid w:val="002B7270"/>
    <w:rsid w:val="002C1E7F"/>
    <w:rsid w:val="002C2645"/>
    <w:rsid w:val="002D1D60"/>
    <w:rsid w:val="002D5D92"/>
    <w:rsid w:val="002E041D"/>
    <w:rsid w:val="002F4135"/>
    <w:rsid w:val="00303320"/>
    <w:rsid w:val="0033277D"/>
    <w:rsid w:val="00365DF5"/>
    <w:rsid w:val="00366011"/>
    <w:rsid w:val="00380DC2"/>
    <w:rsid w:val="00386737"/>
    <w:rsid w:val="003A2EA6"/>
    <w:rsid w:val="003B5B76"/>
    <w:rsid w:val="003C3A41"/>
    <w:rsid w:val="003E450F"/>
    <w:rsid w:val="003E7EA0"/>
    <w:rsid w:val="003F700A"/>
    <w:rsid w:val="004033D7"/>
    <w:rsid w:val="00406C9D"/>
    <w:rsid w:val="0041054B"/>
    <w:rsid w:val="00414010"/>
    <w:rsid w:val="00414EB9"/>
    <w:rsid w:val="00414FD7"/>
    <w:rsid w:val="00416F29"/>
    <w:rsid w:val="004171A2"/>
    <w:rsid w:val="0042595F"/>
    <w:rsid w:val="00425D83"/>
    <w:rsid w:val="00481A5B"/>
    <w:rsid w:val="00483A77"/>
    <w:rsid w:val="00497CFE"/>
    <w:rsid w:val="004D4BEF"/>
    <w:rsid w:val="004D55BA"/>
    <w:rsid w:val="004E5BE7"/>
    <w:rsid w:val="004E69C9"/>
    <w:rsid w:val="004F0EC9"/>
    <w:rsid w:val="004F3FFA"/>
    <w:rsid w:val="0052472E"/>
    <w:rsid w:val="00566140"/>
    <w:rsid w:val="00570330"/>
    <w:rsid w:val="00575A52"/>
    <w:rsid w:val="005815E8"/>
    <w:rsid w:val="005919A1"/>
    <w:rsid w:val="00595CF1"/>
    <w:rsid w:val="005A4432"/>
    <w:rsid w:val="005B144D"/>
    <w:rsid w:val="005B5400"/>
    <w:rsid w:val="005E03E5"/>
    <w:rsid w:val="005F5F87"/>
    <w:rsid w:val="006063C0"/>
    <w:rsid w:val="006151C0"/>
    <w:rsid w:val="00622B2B"/>
    <w:rsid w:val="00637ADB"/>
    <w:rsid w:val="00651AAA"/>
    <w:rsid w:val="00653C48"/>
    <w:rsid w:val="00670B46"/>
    <w:rsid w:val="00677A63"/>
    <w:rsid w:val="006B3258"/>
    <w:rsid w:val="006C6303"/>
    <w:rsid w:val="006C7E55"/>
    <w:rsid w:val="006D389B"/>
    <w:rsid w:val="006E2855"/>
    <w:rsid w:val="00706692"/>
    <w:rsid w:val="007106AA"/>
    <w:rsid w:val="007248AE"/>
    <w:rsid w:val="00730A04"/>
    <w:rsid w:val="00731DD0"/>
    <w:rsid w:val="00736815"/>
    <w:rsid w:val="0076033A"/>
    <w:rsid w:val="0076161C"/>
    <w:rsid w:val="007803BF"/>
    <w:rsid w:val="00784EA6"/>
    <w:rsid w:val="007E5F3A"/>
    <w:rsid w:val="007F3975"/>
    <w:rsid w:val="00800D71"/>
    <w:rsid w:val="0080489C"/>
    <w:rsid w:val="00805B35"/>
    <w:rsid w:val="0083075D"/>
    <w:rsid w:val="0087061A"/>
    <w:rsid w:val="00881EBA"/>
    <w:rsid w:val="00885D2A"/>
    <w:rsid w:val="00890BA8"/>
    <w:rsid w:val="008A21E7"/>
    <w:rsid w:val="008A3416"/>
    <w:rsid w:val="008B56C0"/>
    <w:rsid w:val="008B6216"/>
    <w:rsid w:val="008D1B7B"/>
    <w:rsid w:val="008E50A2"/>
    <w:rsid w:val="00910746"/>
    <w:rsid w:val="0092476A"/>
    <w:rsid w:val="0092755C"/>
    <w:rsid w:val="00931D51"/>
    <w:rsid w:val="009364C6"/>
    <w:rsid w:val="00940DA9"/>
    <w:rsid w:val="00952580"/>
    <w:rsid w:val="009607EA"/>
    <w:rsid w:val="00980D7B"/>
    <w:rsid w:val="00982FAF"/>
    <w:rsid w:val="00990140"/>
    <w:rsid w:val="009A26BC"/>
    <w:rsid w:val="009B0876"/>
    <w:rsid w:val="009B7D61"/>
    <w:rsid w:val="009C2BB3"/>
    <w:rsid w:val="009E060A"/>
    <w:rsid w:val="009E4A68"/>
    <w:rsid w:val="009F1981"/>
    <w:rsid w:val="009F77E2"/>
    <w:rsid w:val="00A02F46"/>
    <w:rsid w:val="00A164F2"/>
    <w:rsid w:val="00A342C2"/>
    <w:rsid w:val="00A5374F"/>
    <w:rsid w:val="00A73B03"/>
    <w:rsid w:val="00A84A86"/>
    <w:rsid w:val="00A84C62"/>
    <w:rsid w:val="00AB32E2"/>
    <w:rsid w:val="00AF0188"/>
    <w:rsid w:val="00B0167F"/>
    <w:rsid w:val="00B0394F"/>
    <w:rsid w:val="00B11665"/>
    <w:rsid w:val="00B128B3"/>
    <w:rsid w:val="00B14784"/>
    <w:rsid w:val="00B37914"/>
    <w:rsid w:val="00B7401A"/>
    <w:rsid w:val="00B81D48"/>
    <w:rsid w:val="00B8331E"/>
    <w:rsid w:val="00B846DF"/>
    <w:rsid w:val="00B8691B"/>
    <w:rsid w:val="00B93F78"/>
    <w:rsid w:val="00BA6DA0"/>
    <w:rsid w:val="00BD53D1"/>
    <w:rsid w:val="00BE0E79"/>
    <w:rsid w:val="00C04BB1"/>
    <w:rsid w:val="00C33400"/>
    <w:rsid w:val="00C47939"/>
    <w:rsid w:val="00C515C2"/>
    <w:rsid w:val="00C72D8E"/>
    <w:rsid w:val="00C77091"/>
    <w:rsid w:val="00C86D0A"/>
    <w:rsid w:val="00C87611"/>
    <w:rsid w:val="00CA0003"/>
    <w:rsid w:val="00CA7C74"/>
    <w:rsid w:val="00CD0718"/>
    <w:rsid w:val="00CD4069"/>
    <w:rsid w:val="00CF49D9"/>
    <w:rsid w:val="00D04AFD"/>
    <w:rsid w:val="00D1369B"/>
    <w:rsid w:val="00D54D49"/>
    <w:rsid w:val="00D71D5B"/>
    <w:rsid w:val="00D7720D"/>
    <w:rsid w:val="00D84C0B"/>
    <w:rsid w:val="00D90EAE"/>
    <w:rsid w:val="00D94284"/>
    <w:rsid w:val="00DC60E2"/>
    <w:rsid w:val="00DD386C"/>
    <w:rsid w:val="00DE54AD"/>
    <w:rsid w:val="00DE7B53"/>
    <w:rsid w:val="00DF6528"/>
    <w:rsid w:val="00E237D4"/>
    <w:rsid w:val="00E32604"/>
    <w:rsid w:val="00E32FAF"/>
    <w:rsid w:val="00E42FC4"/>
    <w:rsid w:val="00E617C7"/>
    <w:rsid w:val="00E96F58"/>
    <w:rsid w:val="00EA3B8D"/>
    <w:rsid w:val="00EE1124"/>
    <w:rsid w:val="00EF35C9"/>
    <w:rsid w:val="00EF6F5D"/>
    <w:rsid w:val="00EF74A1"/>
    <w:rsid w:val="00F061B7"/>
    <w:rsid w:val="00F0673A"/>
    <w:rsid w:val="00F1196A"/>
    <w:rsid w:val="00F11D7D"/>
    <w:rsid w:val="00F14DB9"/>
    <w:rsid w:val="00F30B43"/>
    <w:rsid w:val="00F322BC"/>
    <w:rsid w:val="00F36FB2"/>
    <w:rsid w:val="00F45DCC"/>
    <w:rsid w:val="00F46001"/>
    <w:rsid w:val="00F705BE"/>
    <w:rsid w:val="00F75245"/>
    <w:rsid w:val="00F80618"/>
    <w:rsid w:val="00FB2CC3"/>
    <w:rsid w:val="00FC2039"/>
    <w:rsid w:val="00FD6EA9"/>
    <w:rsid w:val="00FF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CB9F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Podnoje">
    <w:name w:val="foot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Zaglavlje">
    <w:name w:val="header"/>
    <w:basedOn w:val="Normal"/>
    <w:link w:val="Zaglavlje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80DC2"/>
    <w:rPr>
      <w:sz w:val="24"/>
      <w:szCs w:val="24"/>
    </w:rPr>
  </w:style>
  <w:style w:type="table" w:styleId="Reetkatablice">
    <w:name w:val="Table Grid"/>
    <w:basedOn w:val="Obinatablica"/>
    <w:uiPriority w:val="39"/>
    <w:rsid w:val="001E7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4E5BE7"/>
    <w:rPr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5BE7"/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D13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3692698-05BA-4ED2-B4B6-ED85E873A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1272</Words>
  <Characters>7255</Characters>
  <Application>Microsoft Office Word</Application>
  <DocSecurity>0</DocSecurity>
  <Lines>60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mikser</Company>
  <LinksUpToDate>false</LinksUpToDate>
  <CharactersWithSpaces>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 Cerović</cp:lastModifiedBy>
  <cp:revision>3</cp:revision>
  <cp:lastPrinted>2024-03-20T14:54:00Z</cp:lastPrinted>
  <dcterms:created xsi:type="dcterms:W3CDTF">2025-03-12T15:56:00Z</dcterms:created>
  <dcterms:modified xsi:type="dcterms:W3CDTF">2025-03-12T15:56:00Z</dcterms:modified>
</cp:coreProperties>
</file>